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附件2</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lang w:val="en-US" w:eastAsia="zh-CN"/>
        </w:rPr>
        <w:t>赋予塔城重点开发开放试验区第一批</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自治区级经济社会管理事项权限</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 w:eastAsia="zh-CN"/>
        </w:rPr>
        <w:t>清单（</w:t>
      </w:r>
      <w:r>
        <w:rPr>
          <w:rFonts w:hint="default" w:ascii="Times New Roman" w:hAnsi="Times New Roman" w:eastAsia="方正小标宋_GBK" w:cs="Times New Roman"/>
          <w:color w:val="auto"/>
          <w:sz w:val="44"/>
          <w:szCs w:val="44"/>
          <w:highlight w:val="none"/>
          <w:lang w:val="en-US" w:eastAsia="zh-CN"/>
        </w:rPr>
        <w:t>12项</w:t>
      </w:r>
      <w:r>
        <w:rPr>
          <w:rFonts w:hint="default" w:ascii="Times New Roman" w:hAnsi="Times New Roman" w:eastAsia="方正小标宋_GBK" w:cs="Times New Roman"/>
          <w:color w:val="auto"/>
          <w:sz w:val="44"/>
          <w:szCs w:val="44"/>
          <w:highlight w:val="none"/>
          <w:lang w:val="en" w:eastAsia="zh-CN"/>
        </w:rPr>
        <w:t>）</w:t>
      </w:r>
      <w:r>
        <w:rPr>
          <w:rFonts w:hint="default" w:ascii="Times New Roman" w:hAnsi="Times New Roman" w:eastAsia="方正小标宋_GBK" w:cs="Times New Roman"/>
          <w:color w:val="auto"/>
          <w:sz w:val="44"/>
          <w:szCs w:val="44"/>
          <w:highlight w:val="none"/>
        </w:rPr>
        <w:t>的说明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_GBK" w:cs="Times New Roman"/>
          <w:color w:val="auto"/>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为贯彻落实</w:t>
      </w:r>
      <w:r>
        <w:rPr>
          <w:rFonts w:hint="default" w:ascii="Times New Roman" w:hAnsi="Times New Roman" w:eastAsia="仿宋_GB2312" w:cs="Times New Roman"/>
          <w:b w:val="0"/>
          <w:i w:val="0"/>
          <w:caps w:val="0"/>
          <w:color w:val="auto"/>
          <w:spacing w:val="0"/>
          <w:kern w:val="2"/>
          <w:sz w:val="32"/>
          <w:szCs w:val="32"/>
          <w:highlight w:val="none"/>
          <w:lang w:val="en-US" w:eastAsia="zh-CN" w:bidi="ar"/>
        </w:rPr>
        <w:t>自治区人民政府</w:t>
      </w:r>
      <w:r>
        <w:rPr>
          <w:rFonts w:hint="default" w:ascii="Times New Roman" w:hAnsi="Times New Roman" w:eastAsia="仿宋_GB2312" w:cs="Times New Roman"/>
          <w:b w:val="0"/>
          <w:color w:val="auto"/>
          <w:spacing w:val="0"/>
          <w:kern w:val="2"/>
          <w:sz w:val="32"/>
          <w:szCs w:val="32"/>
          <w:highlight w:val="none"/>
          <w:lang w:val="en-US" w:eastAsia="zh-CN" w:bidi="ar"/>
        </w:rPr>
        <w:t>《关于加快推进新疆塔城重点开发开放试验区高质量建设的若干政策》（新政发〔2021〕68号）、《新疆塔城重点开发开放试验区建设总体规划（2021</w:t>
      </w:r>
      <w:r>
        <w:rPr>
          <w:rFonts w:hint="eastAsia" w:ascii="Times New Roman" w:hAnsi="Times New Roman" w:eastAsia="仿宋_GB2312" w:cs="Times New Roman"/>
          <w:b w:val="0"/>
          <w:color w:val="auto"/>
          <w:spacing w:val="0"/>
          <w:kern w:val="2"/>
          <w:sz w:val="32"/>
          <w:szCs w:val="32"/>
          <w:highlight w:val="none"/>
          <w:lang w:val="en-US" w:eastAsia="zh-CN" w:bidi="ar"/>
        </w:rPr>
        <w:t>—</w:t>
      </w:r>
      <w:r>
        <w:rPr>
          <w:rFonts w:hint="default" w:ascii="Times New Roman" w:hAnsi="Times New Roman" w:eastAsia="仿宋_GB2312" w:cs="Times New Roman"/>
          <w:b w:val="0"/>
          <w:color w:val="auto"/>
          <w:spacing w:val="0"/>
          <w:kern w:val="2"/>
          <w:sz w:val="32"/>
          <w:szCs w:val="32"/>
          <w:highlight w:val="none"/>
          <w:lang w:val="en-US" w:eastAsia="zh-CN" w:bidi="ar"/>
        </w:rPr>
        <w:t>2030年）》（新政发〔2021〕72号）中关于</w:t>
      </w:r>
      <w:r>
        <w:rPr>
          <w:rFonts w:hint="eastAsia" w:ascii="Times New Roman" w:hAnsi="Times New Roman" w:eastAsia="仿宋_GB2312" w:cs="Times New Roman"/>
          <w:b w:val="0"/>
          <w:color w:val="auto"/>
          <w:spacing w:val="0"/>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根据试验区建设发展需要，充分赋予试验区改革事权，自治区人民政府向试验区分期分批赋予自治区级管理权限</w:t>
      </w:r>
      <w:r>
        <w:rPr>
          <w:rFonts w:hint="eastAsia" w:ascii="Times New Roman" w:hAnsi="Times New Roman" w:eastAsia="仿宋_GB2312" w:cs="Times New Roman"/>
          <w:b w:val="0"/>
          <w:color w:val="auto"/>
          <w:spacing w:val="0"/>
          <w:kern w:val="2"/>
          <w:sz w:val="32"/>
          <w:szCs w:val="32"/>
          <w:highlight w:val="none"/>
          <w:lang w:val="en-US" w:eastAsia="zh-CN" w:bidi="ar"/>
        </w:rPr>
        <w:t>”</w:t>
      </w:r>
      <w:r>
        <w:rPr>
          <w:rFonts w:hint="default" w:ascii="Times New Roman" w:hAnsi="Times New Roman" w:eastAsia="仿宋_GB2312" w:cs="Times New Roman"/>
          <w:b w:val="0"/>
          <w:color w:val="auto"/>
          <w:spacing w:val="0"/>
          <w:kern w:val="2"/>
          <w:sz w:val="32"/>
          <w:szCs w:val="32"/>
          <w:highlight w:val="none"/>
          <w:lang w:val="en-US" w:eastAsia="zh-CN" w:bidi="ar"/>
        </w:rPr>
        <w:t>的要求，自治区发展改革委</w:t>
      </w:r>
      <w:r>
        <w:rPr>
          <w:rFonts w:hint="default" w:ascii="Times New Roman" w:hAnsi="Times New Roman" w:eastAsia="仿宋_GB2312" w:cs="Times New Roman"/>
          <w:color w:val="auto"/>
          <w:sz w:val="32"/>
          <w:szCs w:val="32"/>
          <w:highlight w:val="none"/>
          <w:lang w:val="en-US" w:eastAsia="zh-CN"/>
        </w:rPr>
        <w:t>在广泛调研、征求意见、认真论证、主动对接的基础上，</w:t>
      </w:r>
      <w:r>
        <w:rPr>
          <w:rFonts w:hint="default" w:ascii="Times New Roman" w:hAnsi="Times New Roman" w:eastAsia="仿宋_GB2312" w:cs="Times New Roman"/>
          <w:b w:val="0"/>
          <w:color w:val="auto"/>
          <w:spacing w:val="0"/>
          <w:kern w:val="2"/>
          <w:sz w:val="32"/>
          <w:szCs w:val="32"/>
          <w:highlight w:val="none"/>
          <w:lang w:val="en-US" w:eastAsia="zh-CN" w:bidi="ar"/>
        </w:rPr>
        <w:t>梳理了自治区人民政府赋予塔城重点开发开放试验区第一批12项自治区级经济社会管理事项权限。</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highlight w:val="none"/>
          <w:lang w:val="en"/>
        </w:rPr>
      </w:pPr>
      <w:r>
        <w:rPr>
          <w:rFonts w:hint="default" w:ascii="Times New Roman" w:hAnsi="Times New Roman" w:eastAsia="黑体" w:cs="Times New Roman"/>
          <w:color w:val="auto"/>
          <w:sz w:val="32"/>
          <w:szCs w:val="32"/>
          <w:highlight w:val="none"/>
          <w:lang w:val="en" w:eastAsia="zh-CN"/>
        </w:rPr>
        <w:t>一</w:t>
      </w:r>
      <w:r>
        <w:rPr>
          <w:rFonts w:hint="default" w:ascii="Times New Roman" w:hAnsi="Times New Roman" w:eastAsia="黑体" w:cs="Times New Roman"/>
          <w:color w:val="auto"/>
          <w:sz w:val="32"/>
          <w:szCs w:val="32"/>
          <w:highlight w:val="none"/>
          <w:lang w:val="en"/>
        </w:rPr>
        <w:t>、</w:t>
      </w:r>
      <w:r>
        <w:rPr>
          <w:rFonts w:hint="default" w:ascii="Times New Roman" w:hAnsi="Times New Roman" w:eastAsia="黑体" w:cs="Times New Roman"/>
          <w:color w:val="auto"/>
          <w:sz w:val="32"/>
          <w:szCs w:val="32"/>
          <w:highlight w:val="none"/>
          <w:lang w:val="en" w:eastAsia="zh-CN"/>
        </w:rPr>
        <w:t>工作</w:t>
      </w:r>
      <w:r>
        <w:rPr>
          <w:rFonts w:hint="default" w:ascii="Times New Roman" w:hAnsi="Times New Roman" w:eastAsia="黑体" w:cs="Times New Roman"/>
          <w:color w:val="auto"/>
          <w:sz w:val="32"/>
          <w:szCs w:val="32"/>
          <w:highlight w:val="none"/>
          <w:lang w:val="en"/>
        </w:rPr>
        <w:t>过程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b w:val="0"/>
          <w:bCs w:val="0"/>
          <w:color w:val="auto"/>
          <w:sz w:val="32"/>
          <w:szCs w:val="32"/>
          <w:highlight w:val="none"/>
        </w:rPr>
        <w:t>（一）</w:t>
      </w:r>
      <w:r>
        <w:rPr>
          <w:rFonts w:hint="default" w:ascii="Times New Roman" w:hAnsi="Times New Roman" w:eastAsia="楷体_GB2312" w:cs="Times New Roman"/>
          <w:b w:val="0"/>
          <w:bCs w:val="0"/>
          <w:color w:val="auto"/>
          <w:sz w:val="32"/>
          <w:szCs w:val="32"/>
          <w:highlight w:val="none"/>
          <w:lang w:eastAsia="zh-CN"/>
        </w:rPr>
        <w:t>摸排</w:t>
      </w:r>
      <w:r>
        <w:rPr>
          <w:rFonts w:hint="default" w:ascii="Times New Roman" w:hAnsi="Times New Roman" w:eastAsia="楷体_GB2312" w:cs="Times New Roman"/>
          <w:b w:val="0"/>
          <w:bCs w:val="0"/>
          <w:color w:val="auto"/>
          <w:sz w:val="32"/>
          <w:szCs w:val="32"/>
          <w:highlight w:val="none"/>
        </w:rPr>
        <w:t>诉求。</w:t>
      </w:r>
      <w:r>
        <w:rPr>
          <w:rFonts w:hint="default" w:ascii="Times New Roman" w:hAnsi="Times New Roman" w:eastAsia="仿宋_GB2312" w:cs="Times New Roman"/>
          <w:color w:val="auto"/>
          <w:kern w:val="2"/>
          <w:sz w:val="32"/>
          <w:szCs w:val="32"/>
          <w:highlight w:val="none"/>
          <w:lang w:val="en-US" w:eastAsia="zh-CN" w:bidi="ar"/>
        </w:rPr>
        <w:t>2024年</w:t>
      </w:r>
      <w:r>
        <w:rPr>
          <w:rFonts w:hint="default" w:ascii="Times New Roman" w:hAnsi="Times New Roman" w:eastAsia="仿宋_GB2312" w:cs="Times New Roman"/>
          <w:color w:val="auto"/>
          <w:sz w:val="32"/>
          <w:szCs w:val="32"/>
          <w:highlight w:val="none"/>
          <w:lang w:val="en-US" w:eastAsia="zh-CN"/>
        </w:rPr>
        <w:t>8月20日</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24日，自治区发展改革委会同自治区人民政府办公厅、司法厅赴塔城地区开展实地调研，10月上旬，自治区发展改革委</w:t>
      </w:r>
      <w:r>
        <w:rPr>
          <w:rFonts w:hint="default" w:ascii="Times New Roman" w:hAnsi="Times New Roman" w:eastAsia="仿宋_GB2312" w:cs="Times New Roman"/>
          <w:color w:val="auto"/>
          <w:kern w:val="2"/>
          <w:sz w:val="32"/>
          <w:szCs w:val="32"/>
          <w:highlight w:val="none"/>
          <w:lang w:val="en-US" w:eastAsia="zh-CN" w:bidi="ar"/>
        </w:rPr>
        <w:t>指导、配合塔城地区研究论证梳理出17项自治区级经济社会管理事项权限需求。</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（二）征求意见。</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楷体_GB2312" w:cs="Times New Roman"/>
          <w:b w:val="0"/>
          <w:bCs w:val="0"/>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自治区发展改革委征求了自治区司法厅、自然资源厅等8家单位（部门）意见建议，</w:t>
      </w:r>
      <w:r>
        <w:rPr>
          <w:rFonts w:hint="default" w:ascii="Times New Roman" w:hAnsi="Times New Roman" w:eastAsia="仿宋_GB2312" w:cs="Times New Roman"/>
          <w:b w:val="0"/>
          <w:bCs w:val="0"/>
          <w:color w:val="auto"/>
          <w:sz w:val="32"/>
          <w:szCs w:val="32"/>
          <w:highlight w:val="none"/>
          <w:lang w:val="en-US" w:eastAsia="zh-CN"/>
        </w:rPr>
        <w:t>反馈意见全部采纳，拟下放13项权限。</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lang w:val="en"/>
        </w:rPr>
      </w:pPr>
      <w:r>
        <w:rPr>
          <w:rFonts w:hint="default" w:ascii="Times New Roman" w:hAnsi="Times New Roman" w:eastAsia="楷体_GB2312" w:cs="Times New Roman"/>
          <w:b w:val="0"/>
          <w:bCs w:val="0"/>
          <w:color w:val="auto"/>
          <w:sz w:val="32"/>
          <w:szCs w:val="32"/>
          <w:highlight w:val="none"/>
        </w:rPr>
        <w:t>（三）</w:t>
      </w:r>
      <w:r>
        <w:rPr>
          <w:rFonts w:hint="default" w:ascii="Times New Roman" w:hAnsi="Times New Roman" w:eastAsia="楷体_GB2312" w:cs="Times New Roman"/>
          <w:b w:val="0"/>
          <w:bCs w:val="0"/>
          <w:color w:val="auto"/>
          <w:sz w:val="32"/>
          <w:szCs w:val="32"/>
          <w:highlight w:val="none"/>
          <w:lang w:eastAsia="zh-CN"/>
        </w:rPr>
        <w:t>合法合规性审核</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2025年1月4日，自治区司法厅出具合法合规性审核意见，最终</w:t>
      </w:r>
      <w:r>
        <w:rPr>
          <w:rFonts w:hint="default" w:ascii="Times New Roman" w:hAnsi="Times New Roman" w:eastAsia="仿宋_GB2312" w:cs="Times New Roman"/>
          <w:color w:val="auto"/>
          <w:sz w:val="32"/>
          <w:szCs w:val="32"/>
          <w:highlight w:val="none"/>
        </w:rPr>
        <w:t>确定</w:t>
      </w:r>
      <w:r>
        <w:rPr>
          <w:rFonts w:hint="default" w:ascii="Times New Roman" w:hAnsi="Times New Roman" w:eastAsia="仿宋_GB2312" w:cs="Times New Roman"/>
          <w:color w:val="auto"/>
          <w:sz w:val="32"/>
          <w:szCs w:val="32"/>
          <w:highlight w:val="none"/>
          <w:lang w:val="en" w:eastAsia="zh-CN"/>
        </w:rPr>
        <w:t>第一</w:t>
      </w:r>
      <w:r>
        <w:rPr>
          <w:rFonts w:hint="default" w:ascii="Times New Roman" w:hAnsi="Times New Roman" w:eastAsia="仿宋_GB2312" w:cs="Times New Roman"/>
          <w:color w:val="auto"/>
          <w:sz w:val="32"/>
          <w:szCs w:val="32"/>
          <w:highlight w:val="none"/>
          <w:lang w:val="en"/>
        </w:rPr>
        <w:t>批下放</w:t>
      </w:r>
      <w:r>
        <w:rPr>
          <w:rFonts w:hint="default" w:ascii="Times New Roman" w:hAnsi="Times New Roman" w:eastAsia="仿宋_GB2312" w:cs="Times New Roman"/>
          <w:color w:val="auto"/>
          <w:sz w:val="32"/>
          <w:szCs w:val="32"/>
          <w:highlight w:val="none"/>
          <w:lang w:val="en" w:eastAsia="zh-CN"/>
        </w:rPr>
        <w:t>权限</w:t>
      </w:r>
      <w:r>
        <w:rPr>
          <w:rFonts w:hint="default" w:ascii="Times New Roman" w:hAnsi="Times New Roman" w:eastAsia="仿宋_GB2312" w:cs="Times New Roman"/>
          <w:color w:val="auto"/>
          <w:sz w:val="32"/>
          <w:szCs w:val="32"/>
          <w:highlight w:val="none"/>
          <w:lang w:val="en"/>
        </w:rPr>
        <w:t>共</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val="e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highlight w:val="none"/>
          <w:lang w:val="en"/>
        </w:rPr>
      </w:pPr>
      <w:r>
        <w:rPr>
          <w:rFonts w:hint="default" w:ascii="Times New Roman" w:hAnsi="Times New Roman" w:eastAsia="黑体" w:cs="Times New Roman"/>
          <w:color w:val="auto"/>
          <w:sz w:val="32"/>
          <w:szCs w:val="32"/>
          <w:highlight w:val="none"/>
          <w:lang w:val="en" w:eastAsia="zh-CN"/>
        </w:rPr>
        <w:t>二</w:t>
      </w:r>
      <w:r>
        <w:rPr>
          <w:rFonts w:hint="default" w:ascii="Times New Roman" w:hAnsi="Times New Roman" w:eastAsia="黑体" w:cs="Times New Roman"/>
          <w:color w:val="auto"/>
          <w:sz w:val="32"/>
          <w:szCs w:val="32"/>
          <w:highlight w:val="none"/>
          <w:lang w:val="en"/>
        </w:rPr>
        <w:t>、主要内容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赋予塔城重点开发开放试验区第一批自治区级经济社会管理事项权限</w:t>
      </w:r>
      <w:r>
        <w:rPr>
          <w:rFonts w:hint="default" w:ascii="Times New Roman" w:hAnsi="Times New Roman" w:eastAsia="仿宋_GB2312" w:cs="Times New Roman"/>
          <w:color w:val="auto"/>
          <w:sz w:val="32"/>
          <w:szCs w:val="32"/>
          <w:highlight w:val="none"/>
          <w:lang w:val="en" w:eastAsia="zh-CN"/>
        </w:rPr>
        <w:t>清单</w:t>
      </w:r>
      <w:r>
        <w:rPr>
          <w:rFonts w:hint="default" w:ascii="Times New Roman" w:hAnsi="Times New Roman" w:eastAsia="仿宋_GB2312" w:cs="Times New Roman"/>
          <w:color w:val="auto"/>
          <w:sz w:val="32"/>
          <w:szCs w:val="32"/>
          <w:highlight w:val="none"/>
        </w:rPr>
        <w:t>》共计</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val="en"/>
        </w:rPr>
        <w:t>包括管理权限名称、主管部门、赋权方式、权力类型等，涉及</w:t>
      </w:r>
      <w:r>
        <w:rPr>
          <w:rFonts w:hint="default" w:ascii="Times New Roman" w:hAnsi="Times New Roman" w:eastAsia="仿宋_GB2312" w:cs="Times New Roman"/>
          <w:color w:val="auto"/>
          <w:sz w:val="32"/>
          <w:szCs w:val="32"/>
          <w:highlight w:val="none"/>
          <w:lang w:val="en-US" w:eastAsia="zh-CN"/>
        </w:rPr>
        <w:t>演出经纪机构设立审批、检验检测机构资质认定、广播电视节目制作经营单位设立审批</w:t>
      </w:r>
      <w:r>
        <w:rPr>
          <w:rFonts w:hint="default" w:ascii="Times New Roman" w:hAnsi="Times New Roman" w:eastAsia="仿宋_GB2312" w:cs="Times New Roman"/>
          <w:color w:val="auto"/>
          <w:sz w:val="32"/>
          <w:szCs w:val="32"/>
          <w:highlight w:val="none"/>
          <w:lang w:val="en"/>
        </w:rPr>
        <w:t>等领域。</w:t>
      </w:r>
    </w:p>
    <w:p>
      <w:pPr>
        <w:spacing w:line="560" w:lineRule="exact"/>
        <w:ind w:firstLine="640" w:firstLineChars="200"/>
        <w:outlineLvl w:val="0"/>
        <w:rPr>
          <w:rFonts w:hint="default" w:ascii="Times New Roman" w:hAnsi="Times New Roman" w:eastAsia="黑体"/>
          <w:bCs/>
          <w:sz w:val="32"/>
          <w:szCs w:val="32"/>
        </w:rPr>
      </w:pPr>
      <w:r>
        <w:rPr>
          <w:rFonts w:hint="default" w:ascii="Times New Roman" w:hAnsi="Times New Roman" w:eastAsia="黑体"/>
          <w:bCs/>
          <w:sz w:val="32"/>
          <w:szCs w:val="32"/>
        </w:rPr>
        <w:t>三、其他说明事项</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本次</w:t>
      </w:r>
      <w:r>
        <w:rPr>
          <w:rFonts w:hint="default" w:ascii="Times New Roman" w:hAnsi="Times New Roman" w:eastAsia="仿宋_GB2312" w:cs="Times New Roman"/>
          <w:color w:val="auto"/>
          <w:kern w:val="2"/>
          <w:sz w:val="32"/>
          <w:szCs w:val="32"/>
          <w:highlight w:val="none"/>
          <w:lang w:val="en-US" w:eastAsia="zh-CN" w:bidi="ar"/>
        </w:rPr>
        <w:t>拟下放试验区的</w:t>
      </w:r>
      <w:r>
        <w:rPr>
          <w:rFonts w:hint="default" w:ascii="Times New Roman" w:hAnsi="Times New Roman" w:eastAsia="仿宋_GB2312"/>
          <w:color w:val="auto"/>
          <w:sz w:val="32"/>
          <w:szCs w:val="32"/>
          <w:lang w:val="en-US" w:eastAsia="zh-CN"/>
        </w:rPr>
        <w:t>第一批</w:t>
      </w:r>
      <w:r>
        <w:rPr>
          <w:rFonts w:hint="default" w:ascii="Times New Roman" w:hAnsi="Times New Roman" w:eastAsia="仿宋_GB2312" w:cs="Times New Roman"/>
          <w:color w:val="auto"/>
          <w:kern w:val="2"/>
          <w:sz w:val="32"/>
          <w:szCs w:val="32"/>
          <w:highlight w:val="none"/>
          <w:lang w:val="en-US" w:eastAsia="zh-CN" w:bidi="ar"/>
        </w:rPr>
        <w:t>12项</w:t>
      </w:r>
      <w:r>
        <w:rPr>
          <w:rFonts w:hint="default" w:ascii="Times New Roman" w:hAnsi="Times New Roman" w:eastAsia="仿宋_GB2312"/>
          <w:color w:val="auto"/>
          <w:sz w:val="32"/>
          <w:szCs w:val="32"/>
          <w:lang w:val="en-US" w:eastAsia="zh-CN"/>
        </w:rPr>
        <w:t>自治区级经济社会管理事项权限所涉及的自治区各单位均无意见，已经自治区司法厅合法合规性审核。</w:t>
      </w:r>
    </w:p>
    <w:p>
      <w:pPr>
        <w:pStyle w:val="3"/>
        <w:spacing w:line="560" w:lineRule="exact"/>
        <w:rPr>
          <w:rFonts w:hint="default" w:ascii="Times New Roman" w:hAnsi="Times New Roman" w:eastAsia="仿宋_GB2312"/>
          <w:sz w:val="32"/>
          <w:szCs w:val="32"/>
        </w:rPr>
      </w:pPr>
    </w:p>
    <w:sectPr>
      <w:footerReference r:id="rId3" w:type="default"/>
      <w:pgSz w:w="11906" w:h="16838"/>
      <w:pgMar w:top="2120" w:right="1531" w:bottom="1928" w:left="1531" w:header="851" w:footer="992"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2000000"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bookmarkStart w:id="0" w:name="_GoBack"/>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-421005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33.15pt;height:144pt;width:144pt;mso-position-horizontal:outside;mso-position-horizontal-relative:margin;mso-wrap-style:none;z-index:251659264;mso-width-relative:page;mso-height-relative:page;" filled="f" stroked="f" coordsize="21600,21600" o:gfxdata="UEsDBAoAAAAAAIdO4kAAAAAAAAAAAAAAAAAEAAAAZHJzL1BLAwQUAAAACACHTuJAtXwlT9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fCVP1QAAAAgBAAAPAAAAAAAAAAEAIAAA&#10;ACIAAABkcnMvZG93bnJldi54bWxQSwECFAAUAAAACACHTuJA6rY5ptYBAACyAwAADgAAAAAAAAAB&#10;ACAAAAAkAQAAZHJzL2Uyb0RvYy54bWxQSwUGAAAAAAYABgBZAQAAbAUAAAAA&#10;">
              <v:fill on="f" focussize="0,0"/>
              <v:stroke on="f"/>
              <v:imagedata o:title=""/>
              <o:lock v:ext="edit" aspectratio="f"/>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2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E8BA"/>
    <w:rsid w:val="0000797E"/>
    <w:rsid w:val="00090E63"/>
    <w:rsid w:val="000F4D94"/>
    <w:rsid w:val="000F7B33"/>
    <w:rsid w:val="00100C32"/>
    <w:rsid w:val="0015017A"/>
    <w:rsid w:val="00160C8C"/>
    <w:rsid w:val="0018637B"/>
    <w:rsid w:val="00191D27"/>
    <w:rsid w:val="00245779"/>
    <w:rsid w:val="002526DA"/>
    <w:rsid w:val="002852DF"/>
    <w:rsid w:val="002D18EC"/>
    <w:rsid w:val="00337028"/>
    <w:rsid w:val="003418B5"/>
    <w:rsid w:val="003959B0"/>
    <w:rsid w:val="00455B32"/>
    <w:rsid w:val="004A1D75"/>
    <w:rsid w:val="0052721F"/>
    <w:rsid w:val="00596D36"/>
    <w:rsid w:val="005A5D06"/>
    <w:rsid w:val="005B00BE"/>
    <w:rsid w:val="006512E0"/>
    <w:rsid w:val="007B5D57"/>
    <w:rsid w:val="00805284"/>
    <w:rsid w:val="008064FC"/>
    <w:rsid w:val="008A464F"/>
    <w:rsid w:val="008F58D8"/>
    <w:rsid w:val="00921351"/>
    <w:rsid w:val="00976A34"/>
    <w:rsid w:val="00977BEF"/>
    <w:rsid w:val="0098625A"/>
    <w:rsid w:val="009B1BFA"/>
    <w:rsid w:val="009B2F53"/>
    <w:rsid w:val="009B59F4"/>
    <w:rsid w:val="00A17263"/>
    <w:rsid w:val="00A97C2E"/>
    <w:rsid w:val="00AC7B8D"/>
    <w:rsid w:val="00B136A2"/>
    <w:rsid w:val="00B155DA"/>
    <w:rsid w:val="00BF0DB1"/>
    <w:rsid w:val="00C84396"/>
    <w:rsid w:val="00D6124D"/>
    <w:rsid w:val="00E6257A"/>
    <w:rsid w:val="00E968A9"/>
    <w:rsid w:val="00EA5F2F"/>
    <w:rsid w:val="00EA70EF"/>
    <w:rsid w:val="00EC3C25"/>
    <w:rsid w:val="00EC7F14"/>
    <w:rsid w:val="00ED39F5"/>
    <w:rsid w:val="00EE0F3D"/>
    <w:rsid w:val="00EE4C39"/>
    <w:rsid w:val="00F34913"/>
    <w:rsid w:val="00F67C75"/>
    <w:rsid w:val="00F70A78"/>
    <w:rsid w:val="00F925E5"/>
    <w:rsid w:val="00FA2220"/>
    <w:rsid w:val="00FB6425"/>
    <w:rsid w:val="00FD4BA1"/>
    <w:rsid w:val="27E7E8BA"/>
    <w:rsid w:val="355DDA15"/>
    <w:rsid w:val="3B5999C1"/>
    <w:rsid w:val="4E7E96C0"/>
    <w:rsid w:val="561FADF2"/>
    <w:rsid w:val="59C5E540"/>
    <w:rsid w:val="6DEEC178"/>
    <w:rsid w:val="77FBEAA6"/>
    <w:rsid w:val="7AE8A933"/>
    <w:rsid w:val="7B3B97FC"/>
    <w:rsid w:val="7DFE9FDA"/>
    <w:rsid w:val="7F2F7E6C"/>
    <w:rsid w:val="7FE6FE1D"/>
    <w:rsid w:val="7FFF2B0D"/>
    <w:rsid w:val="884C65E0"/>
    <w:rsid w:val="8FFB4510"/>
    <w:rsid w:val="9FDDB12E"/>
    <w:rsid w:val="A59F15DA"/>
    <w:rsid w:val="B6398D91"/>
    <w:rsid w:val="B7FC35CE"/>
    <w:rsid w:val="BBCD23AD"/>
    <w:rsid w:val="CFFD7432"/>
    <w:rsid w:val="D57F74FF"/>
    <w:rsid w:val="DF7AB0E5"/>
    <w:rsid w:val="EF661922"/>
    <w:rsid w:val="EF8DA847"/>
    <w:rsid w:val="EFBFD470"/>
    <w:rsid w:val="FBAB13CB"/>
    <w:rsid w:val="FBF1D05B"/>
    <w:rsid w:val="FBF3582B"/>
    <w:rsid w:val="FDBBCC14"/>
    <w:rsid w:val="FE6E2D4D"/>
    <w:rsid w:val="FE7EE604"/>
    <w:rsid w:val="FEFF3759"/>
    <w:rsid w:val="FFD61747"/>
    <w:rsid w:val="FFDF1E09"/>
    <w:rsid w:val="FFFC30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rPr>
  </w:style>
  <w:style w:type="paragraph" w:styleId="6">
    <w:name w:val="heading 3"/>
    <w:basedOn w:val="1"/>
    <w:next w:val="1"/>
    <w:qFormat/>
    <w:uiPriority w:val="0"/>
    <w:pPr>
      <w:keepNext/>
      <w:keepLines/>
      <w:spacing w:before="260" w:after="260" w:line="416" w:lineRule="auto"/>
      <w:jc w:val="left"/>
      <w:outlineLvl w:val="2"/>
    </w:pPr>
    <w:rPr>
      <w:rFonts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eastAsia="微软雅黑"/>
    </w:rPr>
  </w:style>
  <w:style w:type="paragraph" w:styleId="7">
    <w:name w:val="Normal Indent"/>
    <w:basedOn w:val="1"/>
    <w:next w:val="1"/>
    <w:qFormat/>
    <w:uiPriority w:val="0"/>
    <w:pPr>
      <w:ind w:firstLine="420" w:firstLineChars="200"/>
    </w:pPr>
  </w:style>
  <w:style w:type="paragraph" w:styleId="8">
    <w:name w:val="Body Text Indent"/>
    <w:basedOn w:val="1"/>
    <w:next w:val="9"/>
    <w:unhideWhenUsed/>
    <w:qFormat/>
    <w:uiPriority w:val="99"/>
    <w:pPr>
      <w:spacing w:after="120"/>
      <w:ind w:left="420" w:leftChars="200"/>
    </w:pPr>
  </w:style>
  <w:style w:type="paragraph" w:customStyle="1" w:styleId="9">
    <w:name w:val="样式 正文文本缩进 + 首行缩进:  2 字符 行距: 1.5 倍行距"/>
    <w:basedOn w:val="8"/>
    <w:qFormat/>
    <w:uiPriority w:val="0"/>
    <w:pPr>
      <w:spacing w:before="156"/>
      <w:ind w:left="0" w:firstLine="482"/>
    </w:pPr>
    <w:rPr>
      <w:rFonts w:cs="宋体"/>
      <w:b/>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rPr>
      <w:rFonts w:ascii="黑体" w:hAnsi="黑体" w:eastAsia="黑体" w:cs="仿宋_GB2312"/>
      <w:sz w:val="32"/>
      <w:szCs w:val="32"/>
    </w:rPr>
  </w:style>
  <w:style w:type="paragraph" w:styleId="13">
    <w:name w:val="List"/>
    <w:basedOn w:val="1"/>
    <w:qFormat/>
    <w:uiPriority w:val="0"/>
    <w:pPr>
      <w:ind w:left="200" w:hanging="200" w:hanging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8"/>
    <w:qFormat/>
    <w:uiPriority w:val="0"/>
    <w:pPr>
      <w:spacing w:line="588" w:lineRule="exact"/>
      <w:ind w:firstLine="960" w:firstLineChars="200"/>
    </w:pPr>
    <w:rPr>
      <w:rFonts w:ascii="Times New Roman" w:hAnsi="Times New Roman" w:eastAsia="方正仿宋_GBK" w:cs="宋体"/>
      <w:sz w:val="32"/>
      <w:szCs w:val="21"/>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 21"/>
    <w:basedOn w:val="21"/>
    <w:next w:val="22"/>
    <w:qFormat/>
    <w:uiPriority w:val="0"/>
    <w:pPr>
      <w:ind w:firstLine="420" w:firstLineChars="200"/>
    </w:pPr>
  </w:style>
  <w:style w:type="paragraph" w:customStyle="1" w:styleId="21">
    <w:name w:val="正文文本缩进1"/>
    <w:basedOn w:val="1"/>
    <w:next w:val="20"/>
    <w:qFormat/>
    <w:uiPriority w:val="0"/>
    <w:pPr>
      <w:spacing w:after="120"/>
      <w:ind w:left="420" w:leftChars="200"/>
    </w:pPr>
  </w:style>
  <w:style w:type="paragraph" w:customStyle="1" w:styleId="22">
    <w:name w:val="纯文本1"/>
    <w:basedOn w:val="1"/>
    <w:next w:val="23"/>
    <w:qFormat/>
    <w:uiPriority w:val="0"/>
    <w:rPr>
      <w:rFonts w:ascii="宋体" w:hAnsi="Courier New"/>
      <w:sz w:val="28"/>
      <w:szCs w:val="20"/>
    </w:rPr>
  </w:style>
  <w:style w:type="paragraph" w:customStyle="1" w:styleId="23">
    <w:name w:val="列表编号 51"/>
    <w:basedOn w:val="1"/>
    <w:qFormat/>
    <w:uiPriority w:val="0"/>
    <w:pPr>
      <w:numPr>
        <w:ilvl w:val="0"/>
        <w:numId w:val="1"/>
      </w:numPr>
    </w:pPr>
  </w:style>
  <w:style w:type="paragraph" w:customStyle="1" w:styleId="24">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5">
    <w:name w:val="p15"/>
    <w:basedOn w:val="1"/>
    <w:qFormat/>
    <w:uiPriority w:val="3"/>
    <w:pPr>
      <w:widowControl/>
      <w:ind w:firstLine="420"/>
    </w:pPr>
    <w:rPr>
      <w:rFonts w:hAnsi="仿宋_GB2312" w:cs="仿宋_GB2312"/>
      <w:color w:val="000000"/>
      <w:kern w:val="0"/>
    </w:rPr>
  </w:style>
  <w:style w:type="character" w:customStyle="1" w:styleId="26">
    <w:name w:val="标题 1 字符"/>
    <w:basedOn w:val="17"/>
    <w:link w:val="4"/>
    <w:qFormat/>
    <w:uiPriority w:val="0"/>
    <w:rPr>
      <w:b/>
      <w:bCs/>
      <w:kern w:val="44"/>
      <w:sz w:val="44"/>
      <w:szCs w:val="44"/>
    </w:rPr>
  </w:style>
  <w:style w:type="character" w:customStyle="1" w:styleId="27">
    <w:name w:val="font142"/>
    <w:basedOn w:val="17"/>
    <w:qFormat/>
    <w:uiPriority w:val="0"/>
    <w:rPr>
      <w:rFonts w:hint="eastAsia" w:ascii="黑体" w:hAnsi="宋体" w:eastAsia="黑体" w:cs="黑体"/>
      <w:color w:val="000000"/>
      <w:sz w:val="24"/>
      <w:szCs w:val="24"/>
      <w:u w:val="none"/>
    </w:rPr>
  </w:style>
  <w:style w:type="character" w:customStyle="1" w:styleId="28">
    <w:name w:val="font01"/>
    <w:basedOn w:val="17"/>
    <w:qFormat/>
    <w:uiPriority w:val="0"/>
    <w:rPr>
      <w:rFonts w:hint="eastAsia" w:ascii="宋体" w:hAnsi="宋体" w:eastAsia="宋体" w:cs="宋体"/>
      <w:b/>
      <w:color w:val="000000"/>
      <w:sz w:val="22"/>
      <w:szCs w:val="22"/>
      <w:u w:val="none"/>
    </w:rPr>
  </w:style>
  <w:style w:type="character" w:customStyle="1" w:styleId="29">
    <w:name w:val="font91"/>
    <w:basedOn w:val="17"/>
    <w:qFormat/>
    <w:uiPriority w:val="0"/>
    <w:rPr>
      <w:rFonts w:hint="eastAsia" w:ascii="仿宋_GB2312" w:eastAsia="仿宋_GB2312" w:cs="仿宋_GB2312"/>
      <w:color w:val="000000"/>
      <w:sz w:val="22"/>
      <w:szCs w:val="22"/>
      <w:u w:val="none"/>
    </w:rPr>
  </w:style>
  <w:style w:type="character" w:customStyle="1" w:styleId="30">
    <w:name w:val="font21"/>
    <w:basedOn w:val="17"/>
    <w:qFormat/>
    <w:uiPriority w:val="0"/>
    <w:rPr>
      <w:rFonts w:hint="eastAsia" w:ascii="宋体" w:hAnsi="宋体" w:eastAsia="宋体" w:cs="宋体"/>
      <w:color w:val="000000"/>
      <w:sz w:val="24"/>
      <w:szCs w:val="24"/>
      <w:u w:val="none"/>
    </w:rPr>
  </w:style>
  <w:style w:type="character" w:customStyle="1" w:styleId="31">
    <w:name w:val="font61"/>
    <w:basedOn w:val="17"/>
    <w:qFormat/>
    <w:uiPriority w:val="0"/>
    <w:rPr>
      <w:rFonts w:hint="eastAsia" w:ascii="仿宋_GB2312" w:eastAsia="仿宋_GB2312" w:cs="仿宋_GB2312"/>
      <w:color w:val="000000"/>
      <w:sz w:val="22"/>
      <w:szCs w:val="22"/>
      <w:u w:val="none"/>
    </w:rPr>
  </w:style>
  <w:style w:type="character" w:customStyle="1" w:styleId="32">
    <w:name w:val="font14"/>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811</Words>
  <Characters>4628</Characters>
  <Lines>1</Lines>
  <Paragraphs>1</Paragraphs>
  <TotalTime>3</TotalTime>
  <ScaleCrop>false</ScaleCrop>
  <LinksUpToDate>false</LinksUpToDate>
  <CharactersWithSpaces>5429</CharactersWithSpaces>
  <Application>WPS Office WWO_wpscloud_20240626034059-b7dc448a9d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2022-08-23T00:35:00Z</dcterms:created>
  <dc:creator>fgw</dc:creator>
  <cp:lastModifiedBy>fgw</cp:lastModifiedBy>
  <dcterms:modified xsi:type="dcterms:W3CDTF">2025-01-09T11:41:10Z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