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default" w:ascii="黑体" w:hAnsi="黑体" w:eastAsia="黑体" w:cs="黑体"/>
          <w:color w:val="auto"/>
          <w:kern w:val="2"/>
          <w:sz w:val="32"/>
          <w:szCs w:val="32"/>
          <w:highlight w:val="none"/>
          <w:lang w:eastAsia="zh-CN"/>
        </w:rPr>
      </w:pPr>
      <w:r>
        <w:rPr>
          <w:rFonts w:hint="default" w:ascii="黑体" w:hAnsi="黑体" w:eastAsia="黑体" w:cs="黑体"/>
          <w:color w:val="auto"/>
          <w:kern w:val="2"/>
          <w:sz w:val="32"/>
          <w:szCs w:val="32"/>
          <w:highlight w:val="none"/>
          <w:lang w:eastAsia="zh-CN"/>
        </w:rPr>
        <w:t>附件</w:t>
      </w:r>
    </w:p>
    <w:p>
      <w:pPr>
        <w:spacing w:line="560" w:lineRule="exact"/>
        <w:rPr>
          <w:rFonts w:hint="default" w:ascii="Times New Roman" w:hAnsi="Times New Roman" w:eastAsia="方正小标宋_GBK" w:cs="Times New Roman"/>
          <w:color w:val="auto"/>
          <w:sz w:val="44"/>
          <w:szCs w:val="44"/>
          <w:highlight w:val="none"/>
          <w:lang w:eastAsia="zh-CN"/>
        </w:rPr>
      </w:pPr>
    </w:p>
    <w:p>
      <w:pPr>
        <w:spacing w:line="56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新疆维吾尔自治区售电公司管理实施细则</w:t>
      </w:r>
    </w:p>
    <w:p>
      <w:pPr>
        <w:spacing w:line="560" w:lineRule="exact"/>
        <w:jc w:val="center"/>
        <w:rPr>
          <w:rFonts w:hint="default" w:ascii="Times New Roman" w:hAnsi="Times New Roman" w:eastAsia="方正小标宋_GBK" w:cs="Times New Roman"/>
          <w:color w:val="auto"/>
          <w:sz w:val="44"/>
          <w:szCs w:val="44"/>
          <w:highlight w:val="none"/>
          <w:lang w:eastAsia="zh-CN"/>
        </w:rPr>
      </w:pPr>
    </w:p>
    <w:p>
      <w:pPr>
        <w:pStyle w:val="7"/>
        <w:spacing w:before="0" w:line="560" w:lineRule="exact"/>
        <w:ind w:left="2833" w:right="2850" w:firstLine="0"/>
        <w:jc w:val="center"/>
        <w:outlineLvl w:val="0"/>
        <w:rPr>
          <w:rFonts w:hint="default" w:ascii="黑体" w:hAnsi="黑体" w:eastAsia="黑体" w:cs="黑体"/>
          <w:color w:val="auto"/>
          <w:kern w:val="2"/>
          <w:sz w:val="32"/>
          <w:szCs w:val="32"/>
          <w:highlight w:val="none"/>
          <w:lang w:val="en-US" w:eastAsia="zh-CN" w:bidi="ar-SA"/>
        </w:rPr>
      </w:pPr>
      <w:r>
        <w:rPr>
          <w:rFonts w:hint="default" w:ascii="黑体" w:hAnsi="黑体" w:eastAsia="黑体" w:cs="黑体"/>
          <w:color w:val="auto"/>
          <w:kern w:val="2"/>
          <w:sz w:val="32"/>
          <w:szCs w:val="32"/>
          <w:highlight w:val="none"/>
          <w:lang w:val="en-US" w:eastAsia="zh-CN" w:bidi="ar-SA"/>
        </w:rPr>
        <w:t>第一章 总则</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为积极稳妥推进售电侧改革，建立健全有序竞争的市场秩序，保护各类经营主体的合法权益，</w:t>
      </w:r>
      <w:r>
        <w:rPr>
          <w:rFonts w:hint="default" w:ascii="Times New Roman" w:hAnsi="Times New Roman" w:eastAsia="仿宋_GB2312" w:cs="Times New Roman"/>
          <w:color w:val="auto"/>
          <w:sz w:val="32"/>
          <w:szCs w:val="32"/>
          <w:highlight w:val="none"/>
          <w:lang w:eastAsia="zh-CN"/>
        </w:rPr>
        <w:t>依据《中共中央国务院关于进一步深化电力体制改革的若干意见》（中发〔2015〕9号）和电力体制改革配套文件、《国家发展改革委国家能源局关于印发</w:t>
      </w:r>
      <w:r>
        <w:rPr>
          <w:rFonts w:hint="eastAsia" w:ascii="汉仪平安行粗简" w:hAnsi="汉仪平安行粗简" w:eastAsia="汉仪平安行粗简" w:cs="汉仪平安行粗简"/>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售电公司管理办法</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的通知》（发改体改规〔2021〕1595号），结合新疆电力市场实际，制定本实施细则。</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售电公司注册、运营、退出，坚持依法合规、开放竞争、安全高效、改革创新、优质服务、常态监管的原则。</w:t>
      </w:r>
    </w:p>
    <w:p>
      <w:pPr>
        <w:pStyle w:val="7"/>
        <w:numPr>
          <w:ilvl w:val="0"/>
          <w:numId w:val="1"/>
        </w:numPr>
        <w:spacing w:before="0" w:line="560" w:lineRule="exact"/>
        <w:ind w:left="0" w:firstLine="652" w:firstLineChars="200"/>
        <w:jc w:val="both"/>
        <w:rPr>
          <w:rFonts w:hint="default" w:ascii="Times New Roman" w:hAnsi="Times New Roman"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本细则所指售电公司是指提供售电服务或配售电服务的经营主体。售电公司在零售市场与电力用户确立售电服务关系</w:t>
      </w:r>
      <w:r>
        <w:rPr>
          <w:rFonts w:hint="eastAsia" w:ascii="Times New Roman" w:hAnsi="Times New Roman" w:eastAsia="仿宋_GB2312" w:cs="Times New Roman"/>
          <w:color w:val="auto"/>
          <w:spacing w:val="3"/>
          <w:sz w:val="32"/>
          <w:szCs w:val="32"/>
          <w:highlight w:val="none"/>
          <w:lang w:eastAsia="zh-CN"/>
        </w:rPr>
        <w:t>，</w:t>
      </w:r>
      <w:r>
        <w:rPr>
          <w:rFonts w:hint="default" w:ascii="Times New Roman" w:hAnsi="Times New Roman" w:eastAsia="仿宋_GB2312" w:cs="Times New Roman"/>
          <w:color w:val="auto"/>
          <w:spacing w:val="3"/>
          <w:sz w:val="32"/>
          <w:szCs w:val="32"/>
          <w:highlight w:val="none"/>
          <w:lang w:eastAsia="zh-CN"/>
        </w:rPr>
        <w:t>在批发市场开展购售电业务。</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价格主管部门和市场监督管理部门、能源监管机构等依法对售电公司市场行为实施监管和开展行政执法工作。新疆电力交易中心有限公司（以下简称“新疆电力交易中心”）按照本实施细则开展售电公司服务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auto"/>
          <w:kern w:val="2"/>
          <w:sz w:val="32"/>
          <w:szCs w:val="32"/>
          <w:highlight w:val="none"/>
          <w:lang w:eastAsia="zh-CN"/>
        </w:rPr>
      </w:pPr>
      <w:bookmarkStart w:id="0" w:name="第二章_注册条件"/>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r>
        <w:rPr>
          <w:rFonts w:hint="eastAsia" w:ascii="黑体" w:hAnsi="黑体" w:eastAsia="黑体" w:cs="黑体"/>
          <w:color w:val="auto"/>
          <w:kern w:val="2"/>
          <w:sz w:val="32"/>
          <w:szCs w:val="32"/>
          <w:highlight w:val="none"/>
          <w:lang w:eastAsia="zh-CN"/>
        </w:rPr>
        <w:t>第二章</w:t>
      </w:r>
      <w:r>
        <w:rPr>
          <w:rFonts w:hint="eastAsia" w:ascii="黑体" w:hAnsi="黑体" w:eastAsia="黑体" w:cs="黑体"/>
          <w:color w:val="auto"/>
          <w:kern w:val="2"/>
          <w:sz w:val="32"/>
          <w:szCs w:val="32"/>
          <w:highlight w:val="none"/>
          <w:lang w:val="en-US" w:eastAsia="zh-CN"/>
        </w:rPr>
        <w:t xml:space="preserve"> </w:t>
      </w:r>
      <w:r>
        <w:rPr>
          <w:rFonts w:hint="default" w:ascii="黑体" w:hAnsi="黑体" w:eastAsia="黑体" w:cs="黑体"/>
          <w:color w:val="auto"/>
          <w:kern w:val="2"/>
          <w:sz w:val="32"/>
          <w:szCs w:val="32"/>
          <w:highlight w:val="none"/>
          <w:lang w:eastAsia="zh-CN"/>
        </w:rPr>
        <w:t>注册条件</w:t>
      </w:r>
      <w:r>
        <w:rPr>
          <w:rFonts w:hint="eastAsia" w:ascii="黑体" w:hAnsi="黑体" w:eastAsia="黑体" w:cs="黑体"/>
          <w:color w:val="auto"/>
          <w:kern w:val="2"/>
          <w:sz w:val="32"/>
          <w:szCs w:val="32"/>
          <w:highlight w:val="none"/>
          <w:lang w:eastAsia="zh-CN"/>
        </w:rPr>
        <w:t>及</w:t>
      </w:r>
      <w:r>
        <w:rPr>
          <w:rFonts w:hint="default" w:ascii="黑体" w:hAnsi="黑体" w:eastAsia="黑体" w:cs="黑体"/>
          <w:color w:val="auto"/>
          <w:kern w:val="2"/>
          <w:sz w:val="32"/>
          <w:szCs w:val="32"/>
          <w:highlight w:val="none"/>
          <w:lang w:val="en-US" w:eastAsia="zh-CN"/>
        </w:rPr>
        <w:t>注册程序</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eastAsia" w:ascii="Times New Roman" w:hAnsi="Times New Roman" w:eastAsia="仿宋_GB2312" w:cs="Times New Roman"/>
          <w:b w:val="0"/>
          <w:color w:val="auto"/>
          <w:spacing w:val="3"/>
          <w:sz w:val="32"/>
          <w:szCs w:val="32"/>
          <w:highlight w:val="none"/>
          <w:lang w:val="en" w:eastAsia="zh-CN"/>
        </w:rPr>
        <w:t>售电公司</w:t>
      </w:r>
      <w:r>
        <w:rPr>
          <w:rFonts w:hint="default" w:ascii="Times New Roman" w:hAnsi="Times New Roman" w:eastAsia="仿宋_GB2312" w:cs="Times New Roman"/>
          <w:b w:val="0"/>
          <w:color w:val="auto"/>
          <w:spacing w:val="3"/>
          <w:sz w:val="32"/>
          <w:szCs w:val="32"/>
          <w:highlight w:val="none"/>
          <w:lang w:val="en" w:eastAsia="zh-CN"/>
        </w:rPr>
        <w:t>注册条件、注册要求和注册资料按照《售电公司管理办法》执行。</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接受注册后，新疆电力交易中心通过电力交易平台、“信用中国”网站等政府指定网站，将售电公司满足注册条件的信息、材料和信用承诺书向社会公示，公示期为1个月。</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收到售电公司提交的注册申请和注册材料后，在7个工作日内完成材料完整性审查，并在满足注册条件后完成售电公司的注册手续。对于售电公司提交的注册材料不符合要求的，新疆电力交易中心应予以一次性书面或通过电力交易平台告知。</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公示期满无异议的售电公司，注册手续自动生效。新疆电力交易中心将公示期满无异议的售电公司纳入自主交易经营主体目录，实行动态管理并向社会公布。</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新疆电力交易中心应对公示期间被提出异议的售电公司的异议情况进行调查核实，并根据核实情况分类处理。</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（一）如因公示材料疏漏缺失或公示期间发生人员等变更而产生异议，售电公司可以补充材料申请再公示。</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二）如因材料造假发生异议，售电公司自接到新疆电力交易中心关于异议的告知之日起，5个工作日内无法作出合理解释，或异议未撤销的，新疆电力交易中心终止其公示，退回售电公司的注册申请，将情况报送地方电力主管部门。</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已注册生效的售电公司，如因不满足准入条件发生异议的，售电公司自接到新疆电力交易中心关于异议的告知之日起，5个工作日内无法作出合理解释，或异议方未撤销异议的，新疆电力交易中心暂停其市场化交易资格，将情况报送地方电力主管部门。</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新疆电力交易中心按月汇总售电公司注册情况向地方电力主管部门、能源监管机构备案，并通过电力交易平台、“信用中国”网站等政府指定网站向社会公布。</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注册信息发生变化时，应在5个工作日内向首次注册的电力交易机构申请信息变更。法人信息、公司股东、股权结构、从业人员、配电网资质等发生如下变化的，售电公司需重新签署信用承诺书并予以公示，公示期为7天。</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（一）企业更名或法定代表人变更（涉及授权书、承诺书、银行开户许可证等资料需要同步更新）。</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（二）企业控制权转移，因公司股权转让导致公司控股股东或者实际控制人发生变化。</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（三）资产总额发生超出注册条件所规定范围的变更。</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（四）企业高级或中级职称的专业人员变更（若人员变更不影响准入条件，则不属于重大信息变更）。</w:t>
      </w:r>
    </w:p>
    <w:p>
      <w:pPr>
        <w:pStyle w:val="7"/>
        <w:tabs>
          <w:tab w:val="left" w:pos="0"/>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（五）配电网运营资质变化。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bookmarkStart w:id="1" w:name="第四章_权利与义务"/>
      <w:bookmarkEnd w:id="1"/>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r>
        <w:rPr>
          <w:rFonts w:hint="default" w:ascii="黑体" w:hAnsi="黑体" w:eastAsia="黑体" w:cs="黑体"/>
          <w:color w:val="auto"/>
          <w:kern w:val="2"/>
          <w:sz w:val="32"/>
          <w:szCs w:val="32"/>
          <w:highlight w:val="none"/>
          <w:lang w:val="en-US" w:eastAsia="zh-CN"/>
        </w:rPr>
        <w:t>第</w:t>
      </w:r>
      <w:r>
        <w:rPr>
          <w:rFonts w:hint="eastAsia" w:ascii="黑体" w:hAnsi="黑体" w:eastAsia="黑体" w:cs="黑体"/>
          <w:color w:val="auto"/>
          <w:kern w:val="2"/>
          <w:sz w:val="32"/>
          <w:szCs w:val="32"/>
          <w:highlight w:val="none"/>
          <w:lang w:val="en-US" w:eastAsia="zh-CN"/>
        </w:rPr>
        <w:t>三</w:t>
      </w:r>
      <w:r>
        <w:rPr>
          <w:rFonts w:hint="default" w:ascii="黑体" w:hAnsi="黑体" w:eastAsia="黑体" w:cs="黑体"/>
          <w:color w:val="auto"/>
          <w:kern w:val="2"/>
          <w:sz w:val="32"/>
          <w:szCs w:val="32"/>
          <w:highlight w:val="none"/>
          <w:lang w:val="en-US" w:eastAsia="zh-CN"/>
        </w:rPr>
        <w:t>章 权利与义务</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售电公司享有以下权利：</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（一）可以采取多种方式通过电力市场购售电，可通过电力交易平台开展双边协商交易、集中交易及其他交易。</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（二）售电公司自主选择各级电力交易机构进行跨省跨区购电和省内购电。</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（三）多个售电公司可以在同一配电区域内售电。同一售电公司可在多个配电区域内售电。</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（四）可向用户提供包括但不限于合同能源管理、综合节能、合理用能咨询和用电设备运行维护等增值服务，并收取相应费用。</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（五）可根据用户授权掌握历史用电信息，在电力交易平台进行数据查询和下载。</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售电公司应履行以下义务：</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（一）承担保密义务，不得泄漏用户信息。</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（二）遵守电力市场交易规则。</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（三）通过电力交易平台线上与用户签订合同，提供优质专业的售电服务，履行合同规定的各项义务。</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（四）受委托代理用户与电网企业的涉网事宜。</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五）按照国家有关规定，在电力交易平台、“信用中国”网站等政府指定网站上公示公司资产、从业人员、场所、技术支持系统、经营状况等信息、证明材料和信用承诺，依法及时对公司重大事项进行公告，并定期公布公司年报。</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（六）不得干涉用户自由选择售电公司的权利。</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（七）按照可再生能源电力消纳责任权重有关规定，承担与年售电量相对应的可再生能源电力消纳量。</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（八）同意新疆电力交易中心对售电公司及其从业人员满足注册条件的信息（含证明材料）对外公示，接受新疆电力交易中心对售电公司持续满足注册条件开展的动态管理。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bookmarkStart w:id="2" w:name="第五章_运营管理"/>
      <w:bookmarkEnd w:id="2"/>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r>
        <w:rPr>
          <w:rFonts w:hint="default" w:ascii="黑体" w:hAnsi="黑体" w:eastAsia="黑体" w:cs="黑体"/>
          <w:color w:val="auto"/>
          <w:kern w:val="2"/>
          <w:sz w:val="32"/>
          <w:szCs w:val="32"/>
          <w:highlight w:val="none"/>
          <w:lang w:val="en-US" w:eastAsia="zh-CN"/>
        </w:rPr>
        <w:t>第</w:t>
      </w:r>
      <w:r>
        <w:rPr>
          <w:rFonts w:hint="eastAsia" w:ascii="黑体" w:hAnsi="黑体" w:eastAsia="黑体" w:cs="黑体"/>
          <w:color w:val="auto"/>
          <w:kern w:val="2"/>
          <w:sz w:val="32"/>
          <w:szCs w:val="32"/>
          <w:highlight w:val="none"/>
          <w:lang w:val="en-US" w:eastAsia="zh-CN"/>
        </w:rPr>
        <w:t>四</w:t>
      </w:r>
      <w:r>
        <w:rPr>
          <w:rFonts w:hint="default" w:ascii="黑体" w:hAnsi="黑体" w:eastAsia="黑体" w:cs="黑体"/>
          <w:color w:val="auto"/>
          <w:kern w:val="2"/>
          <w:sz w:val="32"/>
          <w:szCs w:val="32"/>
          <w:highlight w:val="none"/>
          <w:lang w:val="en-US" w:eastAsia="zh-CN"/>
        </w:rPr>
        <w:t>章 运营管理</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售电公司应持续满足注册条件</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pacing w:val="3"/>
          <w:sz w:val="32"/>
          <w:szCs w:val="32"/>
          <w:highlight w:val="none"/>
          <w:lang w:eastAsia="zh-CN"/>
        </w:rPr>
        <w:t>新疆电力交易中心对首注地在新疆的售电公司开展持续满足注册条件核验及年度信息公开工作。</w:t>
      </w:r>
    </w:p>
    <w:p>
      <w:pPr>
        <w:pStyle w:val="7"/>
        <w:numPr>
          <w:ilvl w:val="0"/>
          <w:numId w:val="1"/>
        </w:numPr>
        <w:tabs>
          <w:tab w:val="left" w:pos="4678"/>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售电公司注册生效后，</w:t>
      </w:r>
      <w:r>
        <w:rPr>
          <w:rFonts w:hint="default" w:ascii="Times New Roman" w:hAnsi="Times New Roman" w:eastAsia="仿宋_GB2312" w:cs="Times New Roman"/>
          <w:color w:val="auto"/>
          <w:spacing w:val="3"/>
          <w:sz w:val="32"/>
          <w:szCs w:val="32"/>
          <w:highlight w:val="none"/>
          <w:lang w:val="zh-TW" w:eastAsia="zh-TW"/>
        </w:rPr>
        <w:t>通过</w:t>
      </w:r>
      <w:r>
        <w:rPr>
          <w:rFonts w:hint="default" w:ascii="Times New Roman" w:hAnsi="Times New Roman" w:eastAsia="仿宋_GB2312" w:cs="Times New Roman"/>
          <w:color w:val="auto"/>
          <w:spacing w:val="3"/>
          <w:sz w:val="32"/>
          <w:szCs w:val="32"/>
          <w:highlight w:val="none"/>
          <w:lang w:eastAsia="zh-CN"/>
        </w:rPr>
        <w:t>新疆</w:t>
      </w:r>
      <w:r>
        <w:rPr>
          <w:rFonts w:hint="default" w:ascii="Times New Roman" w:hAnsi="Times New Roman" w:eastAsia="仿宋_GB2312" w:cs="Times New Roman"/>
          <w:color w:val="auto"/>
          <w:spacing w:val="3"/>
          <w:sz w:val="32"/>
          <w:szCs w:val="32"/>
          <w:highlight w:val="none"/>
          <w:lang w:val="zh-TW" w:eastAsia="zh-TW"/>
        </w:rPr>
        <w:t>电力交易平台</w:t>
      </w:r>
      <w:r>
        <w:rPr>
          <w:rFonts w:hint="default" w:ascii="Times New Roman" w:hAnsi="Times New Roman" w:eastAsia="仿宋_GB2312" w:cs="Times New Roman"/>
          <w:color w:val="auto"/>
          <w:spacing w:val="3"/>
          <w:sz w:val="32"/>
          <w:szCs w:val="32"/>
          <w:highlight w:val="none"/>
          <w:lang w:eastAsia="zh-CN"/>
        </w:rPr>
        <w:t>每年3月底前披露其资产、人员、经营场所、技术支持系统等持续满足注册条件的信息和证明材料，其中，</w:t>
      </w:r>
      <w:r>
        <w:rPr>
          <w:rFonts w:hint="default" w:ascii="Times New Roman" w:hAnsi="Times New Roman" w:eastAsia="仿宋_GB2312" w:cs="Times New Roman"/>
          <w:color w:val="auto"/>
          <w:spacing w:val="3"/>
          <w:sz w:val="32"/>
          <w:szCs w:val="32"/>
          <w:highlight w:val="none"/>
          <w:lang w:val="zh-TW" w:eastAsia="zh-CN"/>
        </w:rPr>
        <w:t>新注册的售电公司应在注册生效之日起</w:t>
      </w:r>
      <w:r>
        <w:rPr>
          <w:rFonts w:hint="default" w:ascii="Times New Roman" w:hAnsi="Times New Roman" w:eastAsia="仿宋_GB2312" w:cs="Times New Roman"/>
          <w:color w:val="auto"/>
          <w:spacing w:val="3"/>
          <w:sz w:val="32"/>
          <w:szCs w:val="32"/>
          <w:highlight w:val="none"/>
          <w:lang w:eastAsia="zh-CN"/>
        </w:rPr>
        <w:t>1个月内完成信息披露。</w:t>
      </w:r>
    </w:p>
    <w:p>
      <w:pPr>
        <w:pStyle w:val="7"/>
        <w:numPr>
          <w:ilvl w:val="0"/>
          <w:numId w:val="1"/>
        </w:numPr>
        <w:tabs>
          <w:tab w:val="left" w:pos="4678"/>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val="zh-TW" w:eastAsia="zh-CN"/>
        </w:rPr>
        <w:t>售电公司每年需开展一次持续满足注册条件自查工作，信息披露完成情况作为售电公司完成自查的判定依据，未完成信息披露的售电公司，由新疆电力交易中心进行核验。</w:t>
      </w:r>
      <w:r>
        <w:rPr>
          <w:rFonts w:hint="default" w:ascii="Times New Roman" w:hAnsi="Times New Roman" w:eastAsia="仿宋_GB2312" w:cs="Times New Roman"/>
          <w:color w:val="auto"/>
          <w:spacing w:val="3"/>
          <w:sz w:val="32"/>
          <w:szCs w:val="32"/>
          <w:highlight w:val="none"/>
          <w:lang w:eastAsia="zh-CN"/>
        </w:rPr>
        <w:t>涉及售电公司从业人员社保缴纳问题整改的，售电公司可用1个月社保缴纳记录加承诺书的方式提交整改。核验结果可以与市场监督管理部门、“信用中国”网站等形成联动机制和信息共享，年度审查次数根据售电公司的信用评级或入市时长确定。</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与电力用户在电力交易平台建立零售服务关系。零售服务关系以双方通过电力交易平台签订的零售合同确定，不再通过电力用户与售电公司在交易平台绑定确立零售服务关系，零售服务关系有效期与零售合同有效期相同。</w:t>
      </w:r>
    </w:p>
    <w:p>
      <w:pPr>
        <w:pStyle w:val="7"/>
        <w:tabs>
          <w:tab w:val="left" w:pos="1984"/>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考虑原零售服务关系确定是以年为最小单位，本实施细则印发当年为过渡期，保持现有运营模式。次年起售电公司与零售用户的零售服务关系及结算价格均按照双边确认的零售合同或套餐执行。</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电力用户在同一合同周期内仅可与一家售电公司确立零售服务关系，零售双方在电力交易平台签订零售合同后，同一执行期内不得再继续签订新的零售合同，电力用户全部电量通过该售电公司购买。</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由电网企业代理购电的工商业用户，在每季度最后15日前选择下一季度起参与交易，向新疆电力交易中心提交参与批发/零售市场交易申请，明确批发/零售用户身份。提交申请后，自下一季度首月1日起参与交易，电网企业代理购电相应终止，即视同不从电网企业购电。电网企业与电力用户的供用电合同中电量、电价等结算相关的条款失效，两者的供用电关系不变，电力用户、售电公司与电网企业应签订电费结算补充协议，无需再签订售电公司、电力用户、电网企业三方合同，新疆电力交易中心将电力用户与售电公司零售服务关系信息统一推送给向电力用户供电的电网企业。</w:t>
      </w:r>
    </w:p>
    <w:p>
      <w:pPr>
        <w:pStyle w:val="7"/>
        <w:tabs>
          <w:tab w:val="left" w:pos="1843"/>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参加市场化交易的电力用户，允许在合同期满的下一个年度，按照准入条件重新提交参与批发或者零售交易申请。未提交申请的，延续上一年度批发或零售交易身份。</w:t>
      </w:r>
    </w:p>
    <w:p>
      <w:pPr>
        <w:pStyle w:val="7"/>
        <w:numPr>
          <w:ilvl w:val="0"/>
          <w:numId w:val="1"/>
        </w:numPr>
        <w:tabs>
          <w:tab w:val="left" w:pos="2268"/>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零售合同应包括但不限于以下内容：电力用户企业名称、电压等级、户号、合同期限、电量及分月计划、费用结算、违约责任、电力用户偏差电量处理方式等内容。其中：零售服务关系、合同期限、电量及分月计划、价格形成机制及偏差电量处理方式等内容应以电力零售套餐的形式在交易平台呈现。售电公司在批发市场与零售市场应考虑电力辅助服务费用和阻塞费用等费用，相关盈亏由售电公司承担。</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零售合同签订时，电力用户应当按要求使用人脸识别、电子营业执照认证、电子印章（含电力交易专用电子章）等技术手段签订零售合同，线上零售合同与纸质合同具备同等效力。</w:t>
      </w:r>
    </w:p>
    <w:p>
      <w:pPr>
        <w:pStyle w:val="7"/>
        <w:numPr>
          <w:ilvl w:val="0"/>
          <w:numId w:val="1"/>
        </w:numPr>
        <w:tabs>
          <w:tab w:val="left" w:pos="3543"/>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零售合同的签订或终止以自然月为周期，售电公司与零售用户可确认月度、多月、年度的零售合同，签订成功当月合同生效，合同截止日期不得超过当年12月31日。</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电力零售套餐</w:t>
      </w:r>
      <w:r>
        <w:rPr>
          <w:rFonts w:hint="eastAsia" w:ascii="Times New Roman" w:hAnsi="Times New Roman" w:eastAsia="仿宋_GB2312" w:cs="Times New Roman"/>
          <w:color w:val="auto"/>
          <w:spacing w:val="3"/>
          <w:sz w:val="32"/>
          <w:szCs w:val="32"/>
          <w:highlight w:val="none"/>
          <w:lang w:eastAsia="zh-CN"/>
        </w:rPr>
        <w:t>作为零售合同的内容，</w:t>
      </w:r>
      <w:r>
        <w:rPr>
          <w:rFonts w:hint="default" w:ascii="Times New Roman" w:hAnsi="Times New Roman" w:eastAsia="仿宋_GB2312" w:cs="Times New Roman"/>
          <w:color w:val="auto"/>
          <w:spacing w:val="3"/>
          <w:sz w:val="32"/>
          <w:szCs w:val="32"/>
          <w:highlight w:val="none"/>
          <w:lang w:eastAsia="zh-CN"/>
        </w:rPr>
        <w:t>按照出售对象以及公开范围，分为标准套餐和定制套餐。</w:t>
      </w:r>
    </w:p>
    <w:p>
      <w:pPr>
        <w:pStyle w:val="7"/>
        <w:numPr>
          <w:ilvl w:val="-1"/>
          <w:numId w:val="0"/>
        </w:numPr>
        <w:tabs>
          <w:tab w:val="left" w:pos="0"/>
        </w:tabs>
        <w:spacing w:before="0" w:line="560" w:lineRule="exact"/>
        <w:ind w:left="0" w:leftChars="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eastAsia" w:ascii="Times New Roman" w:hAnsi="Times New Roman" w:eastAsia="仿宋_GB2312" w:cs="Times New Roman"/>
          <w:color w:val="auto"/>
          <w:spacing w:val="3"/>
          <w:sz w:val="32"/>
          <w:szCs w:val="32"/>
          <w:highlight w:val="none"/>
          <w:lang w:eastAsia="zh-CN"/>
        </w:rPr>
        <w:t>（一）</w:t>
      </w:r>
      <w:r>
        <w:rPr>
          <w:rFonts w:hint="default" w:ascii="Times New Roman" w:hAnsi="Times New Roman" w:eastAsia="仿宋_GB2312" w:cs="Times New Roman"/>
          <w:color w:val="auto"/>
          <w:spacing w:val="3"/>
          <w:sz w:val="32"/>
          <w:szCs w:val="32"/>
          <w:highlight w:val="none"/>
          <w:lang w:eastAsia="zh-CN"/>
        </w:rPr>
        <w:t>标准套餐。售电公司根据电力交易平台提供的零售套餐制式模板，设置参数信息后发布，满足购买要求的用户自主下单，相应售电公司确认套餐。套餐信息面向所有电力用户开放。</w:t>
      </w:r>
    </w:p>
    <w:p>
      <w:pPr>
        <w:pStyle w:val="7"/>
        <w:numPr>
          <w:ilvl w:val="-1"/>
          <w:numId w:val="0"/>
        </w:numPr>
        <w:tabs>
          <w:tab w:val="left" w:pos="0"/>
        </w:tabs>
        <w:spacing w:before="0" w:line="560" w:lineRule="exact"/>
        <w:ind w:left="0" w:leftChars="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eastAsia" w:ascii="Times New Roman" w:hAnsi="Times New Roman" w:eastAsia="仿宋_GB2312" w:cs="Times New Roman"/>
          <w:color w:val="auto"/>
          <w:spacing w:val="3"/>
          <w:sz w:val="32"/>
          <w:szCs w:val="32"/>
          <w:highlight w:val="none"/>
          <w:lang w:eastAsia="zh-CN"/>
        </w:rPr>
        <w:t>（二）</w:t>
      </w:r>
      <w:r>
        <w:rPr>
          <w:rFonts w:hint="default" w:ascii="Times New Roman" w:hAnsi="Times New Roman" w:eastAsia="仿宋_GB2312" w:cs="Times New Roman"/>
          <w:color w:val="auto"/>
          <w:spacing w:val="3"/>
          <w:sz w:val="32"/>
          <w:szCs w:val="32"/>
          <w:highlight w:val="none"/>
          <w:lang w:eastAsia="zh-CN"/>
        </w:rPr>
        <w:t>定制套餐。电力用户向售电公司发起邀约，售电公司依据零售套餐制式模板与发起方协商套餐里的参数信息，制定生成套餐。定制套餐仅发起邀约的零售用户有权签订，不向其他电力用户开放。</w:t>
      </w:r>
    </w:p>
    <w:p>
      <w:pPr>
        <w:pStyle w:val="7"/>
        <w:numPr>
          <w:ilvl w:val="0"/>
          <w:numId w:val="1"/>
        </w:numPr>
        <w:tabs>
          <w:tab w:val="left" w:pos="3685"/>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电力零售套餐制式模板主要包括</w:t>
      </w:r>
      <w:r>
        <w:rPr>
          <w:rFonts w:hint="eastAsia" w:ascii="Times New Roman" w:hAnsi="Times New Roman" w:eastAsia="仿宋_GB2312" w:cs="Times New Roman"/>
          <w:color w:val="auto"/>
          <w:spacing w:val="3"/>
          <w:sz w:val="32"/>
          <w:szCs w:val="32"/>
          <w:highlight w:val="none"/>
          <w:lang w:eastAsia="zh-CN"/>
        </w:rPr>
        <w:t>时间</w:t>
      </w:r>
      <w:r>
        <w:rPr>
          <w:rFonts w:hint="default" w:ascii="Times New Roman" w:hAnsi="Times New Roman" w:eastAsia="仿宋_GB2312" w:cs="Times New Roman"/>
          <w:color w:val="auto"/>
          <w:spacing w:val="3"/>
          <w:sz w:val="32"/>
          <w:szCs w:val="32"/>
          <w:highlight w:val="none"/>
          <w:lang w:eastAsia="zh-CN"/>
        </w:rPr>
        <w:t>期限、价格形成参数、电力用户限售范围、偏差电量处理方式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3"/>
          <w:sz w:val="32"/>
          <w:szCs w:val="32"/>
          <w:highlight w:val="none"/>
          <w:lang w:eastAsia="zh-CN"/>
        </w:rPr>
        <w:t>分月计划电量、可再生能源消纳责任等内容</w:t>
      </w:r>
      <w:r>
        <w:rPr>
          <w:rFonts w:hint="default" w:ascii="Times New Roman" w:hAnsi="Times New Roman" w:eastAsia="仿宋_GB2312" w:cs="Times New Roman"/>
          <w:color w:val="auto"/>
          <w:sz w:val="32"/>
          <w:szCs w:val="32"/>
          <w:highlight w:val="none"/>
          <w:lang w:eastAsia="zh-CN"/>
        </w:rPr>
        <w:t>。地方电力主管部门授权新疆电力交易中心根据市场需求制定模板样式，每年定期更新发布次年《新疆电力零售套餐指南》，若未发布《新疆电力零售套餐指南》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沿用原有模式。</w:t>
      </w:r>
    </w:p>
    <w:p>
      <w:pPr>
        <w:pStyle w:val="7"/>
        <w:numPr>
          <w:ilvl w:val="0"/>
          <w:numId w:val="1"/>
        </w:numPr>
        <w:tabs>
          <w:tab w:val="left" w:pos="3685"/>
        </w:tabs>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与零售用户需在当月最后1个工作日前完成零售套餐的双边确定及合同的签订。零售用户与售电公司双边确认套餐等合同信息，即为零售合同签订成功，逾期一方未完成确认则签订失败。零售合同签订成功立即生效，并按照套餐约定的合同开始时间与合同终止时间执行。</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已直接参与过市场交易的用户需解除合同关系后再签订新的零售合同。零售关系解除仅针对尚未开始交易的月度，已经完成交易或者正在交易中的月度不受影响。</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售电公司与零售用户合同期满自动解约。在零售合同存续期间，售电公司或零售用户需提前终止零售合同关系的，可在合同签订时约定解约方式。约定解约方式分为双方协商解约或支付违约金解约。</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双方协商解约需解约方发起解约通知，被解约方在当月最后1个工作日前确认解除零售合同，次月双方零售合同自动失效。被解约方未确认解除合同的，合同正常履行。</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违约金强制解约需解约方至少提前1个月发起解约通知，并书面告知被解约方。发起解约方应在发起解约通知当月最后3个自然日前向被解约方支付违约金，并在电力交易平台上传有关支付凭证（收款方为被解约方的银行回单），被解约方需在3个自然日内完成线上确认，即解约成功，逾期未确认，视为被解约方已收到违约金，解约成功，次月双方零售合同自动失效。</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零售合同期满或解约后，零售用户在规定时间内未与售电公司完成新的零售合同签订，并产生实际用电量的，按现行新疆电力市场结算规则执行偏差结算。</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根据售电公司与零售用户签订的零售合同（套餐），出具售电公司以及零售用户等零售侧结算依据，电网企业根据结算依据对零售用户进行零售交易资金结算，对售电公司批发、零售价差收益、偏差考核进行资金结算。</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val="zh-TW" w:eastAsia="zh-CN"/>
        </w:rPr>
      </w:pPr>
      <w:r>
        <w:rPr>
          <w:rFonts w:hint="default" w:ascii="Times New Roman" w:hAnsi="Times New Roman" w:eastAsia="仿宋_GB2312" w:cs="Times New Roman"/>
          <w:color w:val="auto"/>
          <w:spacing w:val="3"/>
          <w:sz w:val="32"/>
          <w:szCs w:val="32"/>
          <w:highlight w:val="none"/>
          <w:lang w:val="zh-TW" w:eastAsia="zh-CN"/>
        </w:rPr>
        <w:t>售电公司参与批发和（或）零售市场交易前，向新疆电力交易中心提交履约保函或者履约保险等履约保障凭证。新疆电力交易中心建立售电公司履约额度跟踪预警机制。售电公司未按时足额缴纳履约保函、保险，经新疆电力交易中心书面提醒仍拒不足额缴纳的，</w:t>
      </w:r>
      <w:r>
        <w:rPr>
          <w:rFonts w:hint="eastAsia" w:ascii="Times New Roman" w:hAnsi="Times New Roman" w:eastAsia="仿宋_GB2312" w:cs="Times New Roman"/>
          <w:color w:val="auto"/>
          <w:spacing w:val="3"/>
          <w:sz w:val="32"/>
          <w:szCs w:val="32"/>
          <w:highlight w:val="none"/>
          <w:lang w:val="zh-TW" w:eastAsia="zh-CN"/>
        </w:rPr>
        <w:t>依据</w:t>
      </w:r>
      <w:r>
        <w:rPr>
          <w:rFonts w:hint="default" w:ascii="Times New Roman" w:hAnsi="Times New Roman" w:eastAsia="仿宋_GB2312" w:cs="Times New Roman"/>
          <w:color w:val="auto"/>
          <w:spacing w:val="3"/>
          <w:sz w:val="32"/>
          <w:szCs w:val="32"/>
          <w:highlight w:val="none"/>
          <w:lang w:val="zh-TW" w:eastAsia="zh-CN"/>
        </w:rPr>
        <w:t>《新疆售电公司履约保函、保险管理办法》</w:t>
      </w:r>
      <w:r>
        <w:rPr>
          <w:rFonts w:hint="eastAsia" w:ascii="Times New Roman" w:hAnsi="Times New Roman" w:eastAsia="仿宋_GB2312" w:cs="Times New Roman"/>
          <w:color w:val="auto"/>
          <w:spacing w:val="3"/>
          <w:sz w:val="32"/>
          <w:szCs w:val="32"/>
          <w:highlight w:val="none"/>
          <w:lang w:val="zh-TW" w:eastAsia="zh-CN"/>
        </w:rPr>
        <w:t>，</w:t>
      </w:r>
      <w:r>
        <w:rPr>
          <w:rFonts w:hint="default" w:ascii="Times New Roman" w:hAnsi="Times New Roman" w:eastAsia="仿宋_GB2312" w:cs="Times New Roman"/>
          <w:color w:val="auto"/>
          <w:spacing w:val="3"/>
          <w:sz w:val="32"/>
          <w:szCs w:val="32"/>
          <w:highlight w:val="none"/>
          <w:lang w:val="zh-TW" w:eastAsia="zh-CN"/>
        </w:rPr>
        <w:t>采取相应措施。</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val="zh-TW" w:eastAsia="zh-CN"/>
        </w:rPr>
      </w:pPr>
      <w:r>
        <w:rPr>
          <w:rFonts w:hint="default" w:ascii="Times New Roman" w:hAnsi="Times New Roman" w:eastAsia="仿宋_GB2312" w:cs="Times New Roman"/>
          <w:color w:val="auto"/>
          <w:spacing w:val="3"/>
          <w:sz w:val="32"/>
          <w:szCs w:val="32"/>
          <w:highlight w:val="none"/>
          <w:lang w:val="zh-TW" w:eastAsia="zh-CN"/>
        </w:rPr>
        <w:t>连续12个月未进行实际交易的售电公司，重新参与交易前须再次进行公示。公示期为1个月，公示无异议方可恢复其交易资格。相关内容按月向</w:t>
      </w:r>
      <w:r>
        <w:rPr>
          <w:rFonts w:hint="default" w:ascii="Times New Roman" w:hAnsi="Times New Roman" w:eastAsia="仿宋_GB2312" w:cs="Times New Roman"/>
          <w:color w:val="auto"/>
          <w:spacing w:val="3"/>
          <w:sz w:val="32"/>
          <w:szCs w:val="32"/>
          <w:highlight w:val="none"/>
          <w:lang w:eastAsia="zh-CN"/>
        </w:rPr>
        <w:t>地方电力主管部门</w:t>
      </w:r>
      <w:r>
        <w:rPr>
          <w:rFonts w:hint="default" w:ascii="Times New Roman" w:hAnsi="Times New Roman" w:eastAsia="仿宋_GB2312" w:cs="Times New Roman"/>
          <w:color w:val="auto"/>
          <w:spacing w:val="3"/>
          <w:sz w:val="32"/>
          <w:szCs w:val="32"/>
          <w:highlight w:val="none"/>
          <w:lang w:val="zh-TW" w:eastAsia="zh-CN"/>
        </w:rPr>
        <w:t>报备。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bookmarkStart w:id="3" w:name="第六章_退出方式"/>
      <w:bookmarkEnd w:id="3"/>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val="en-US" w:eastAsia="zh-CN"/>
        </w:rPr>
      </w:pPr>
      <w:r>
        <w:rPr>
          <w:rFonts w:hint="default" w:ascii="黑体" w:hAnsi="黑体" w:eastAsia="黑体" w:cs="黑体"/>
          <w:color w:val="auto"/>
          <w:kern w:val="2"/>
          <w:sz w:val="32"/>
          <w:szCs w:val="32"/>
          <w:highlight w:val="none"/>
          <w:lang w:val="en-US" w:eastAsia="zh-CN"/>
        </w:rPr>
        <w:t>第</w:t>
      </w:r>
      <w:r>
        <w:rPr>
          <w:rFonts w:hint="eastAsia" w:ascii="黑体" w:hAnsi="黑体" w:eastAsia="黑体" w:cs="黑体"/>
          <w:color w:val="auto"/>
          <w:kern w:val="2"/>
          <w:sz w:val="32"/>
          <w:szCs w:val="32"/>
          <w:highlight w:val="none"/>
          <w:lang w:val="en-US" w:eastAsia="zh-CN"/>
        </w:rPr>
        <w:t>五</w:t>
      </w:r>
      <w:r>
        <w:rPr>
          <w:rFonts w:hint="default" w:ascii="黑体" w:hAnsi="黑体" w:eastAsia="黑体" w:cs="黑体"/>
          <w:color w:val="auto"/>
          <w:kern w:val="2"/>
          <w:sz w:val="32"/>
          <w:szCs w:val="32"/>
          <w:highlight w:val="none"/>
          <w:lang w:val="en-US" w:eastAsia="zh-CN"/>
        </w:rPr>
        <w:t>章 退出方式</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eastAsia" w:ascii="Times New Roman" w:hAnsi="Times New Roman" w:eastAsia="仿宋_GB2312" w:cs="Times New Roman"/>
          <w:color w:val="auto"/>
          <w:spacing w:val="3"/>
          <w:sz w:val="32"/>
          <w:szCs w:val="32"/>
          <w:highlight w:val="none"/>
          <w:lang w:eastAsia="zh-CN"/>
        </w:rPr>
        <w:t>售电公司强制退出情形</w:t>
      </w:r>
      <w:r>
        <w:rPr>
          <w:rFonts w:hint="default" w:ascii="Times New Roman" w:hAnsi="Times New Roman" w:eastAsia="仿宋_GB2312" w:cs="Times New Roman"/>
          <w:color w:val="auto"/>
          <w:spacing w:val="3"/>
          <w:sz w:val="32"/>
          <w:szCs w:val="32"/>
          <w:highlight w:val="none"/>
          <w:lang w:eastAsia="zh-CN"/>
        </w:rPr>
        <w:t>按照《售电公司管理办法》执行。</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在地方电力主管部门确认售电公司符合强制退出条件后，可委托新疆电力交易中心通过电力交易平台、“信用中国”网站等政府指定网站向社会公示10个工作日。公示期满无异议的，地方电力主管部门通知新疆电力交易中心对该售电公司实施强制退出。</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b w:val="0"/>
          <w:bCs/>
          <w:color w:val="auto"/>
          <w:spacing w:val="3"/>
          <w:sz w:val="32"/>
          <w:szCs w:val="32"/>
          <w:highlight w:val="none"/>
          <w:lang w:eastAsia="zh-CN"/>
        </w:rPr>
        <w:t>售电公司被强制退出，</w:t>
      </w:r>
      <w:r>
        <w:rPr>
          <w:rFonts w:hint="default" w:ascii="Times New Roman" w:hAnsi="Times New Roman" w:eastAsia="仿宋_GB2312" w:cs="Times New Roman"/>
          <w:color w:val="auto"/>
          <w:sz w:val="32"/>
          <w:szCs w:val="32"/>
          <w:highlight w:val="none"/>
          <w:lang w:eastAsia="zh-CN" w:bidi="zh-TW"/>
        </w:rPr>
        <w:t>其</w:t>
      </w:r>
      <w:r>
        <w:rPr>
          <w:rFonts w:hint="default" w:ascii="Times New Roman" w:hAnsi="Times New Roman" w:eastAsia="仿宋_GB2312" w:cs="Times New Roman"/>
          <w:color w:val="auto"/>
          <w:sz w:val="32"/>
          <w:szCs w:val="32"/>
          <w:highlight w:val="none"/>
          <w:lang w:val="zh-TW" w:eastAsia="zh-CN" w:bidi="zh-TW"/>
        </w:rPr>
        <w:t>所有已签订但尚未履行的购售电合同</w:t>
      </w:r>
      <w:r>
        <w:rPr>
          <w:rFonts w:hint="default" w:ascii="Times New Roman" w:hAnsi="Times New Roman" w:eastAsia="仿宋_GB2312" w:cs="Times New Roman"/>
          <w:color w:val="auto"/>
          <w:sz w:val="31"/>
          <w:szCs w:val="31"/>
          <w:highlight w:val="none"/>
          <w:shd w:val="clear" w:color="auto" w:fill="FFFFFF"/>
          <w:lang w:eastAsia="zh-CN"/>
        </w:rPr>
        <w:t>优先通过自主协商的方式，在10个工作日内完成处理；自主协商期满，退出售电公司未与合同购售电各方就合同解除协商一致的，</w:t>
      </w:r>
      <w:r>
        <w:rPr>
          <w:rFonts w:hint="default" w:ascii="Times New Roman" w:hAnsi="Times New Roman" w:eastAsia="仿宋_GB2312" w:cs="Times New Roman"/>
          <w:color w:val="auto"/>
          <w:sz w:val="32"/>
          <w:szCs w:val="32"/>
          <w:highlight w:val="none"/>
          <w:lang w:val="zh-TW" w:eastAsia="zh-CN" w:bidi="zh-TW"/>
        </w:rPr>
        <w:t>由地方</w:t>
      </w:r>
      <w:r>
        <w:rPr>
          <w:rFonts w:hint="default" w:ascii="Times New Roman" w:hAnsi="Times New Roman" w:eastAsia="仿宋_GB2312" w:cs="Times New Roman"/>
          <w:color w:val="auto"/>
          <w:sz w:val="32"/>
          <w:szCs w:val="32"/>
          <w:highlight w:val="none"/>
          <w:lang w:eastAsia="zh-CN" w:bidi="zh-TW"/>
        </w:rPr>
        <w:t>电力</w:t>
      </w:r>
      <w:r>
        <w:rPr>
          <w:rFonts w:hint="default" w:ascii="Times New Roman" w:hAnsi="Times New Roman" w:eastAsia="仿宋_GB2312" w:cs="Times New Roman"/>
          <w:color w:val="auto"/>
          <w:sz w:val="32"/>
          <w:szCs w:val="32"/>
          <w:highlight w:val="none"/>
          <w:lang w:val="zh-TW" w:eastAsia="zh-CN" w:bidi="zh-TW"/>
        </w:rPr>
        <w:t>主管部门征求合同购售电各方意愿，通过电力交易平台转让给其他售电公司。新疆电力交易中心采用双边协商方式组织开展合同电量转让交易，合同受让方为满足准入条件的售电公司，转让的合同为售电公司被强制退出的次月1日至执行期结束的剩余合同，转让价格为各月各时段剩余合同均价。退出售电公司经合同转让仍未完成处理的购售电合同自动取消，终止履行。</w:t>
      </w:r>
      <w:r>
        <w:rPr>
          <w:rFonts w:hint="default" w:ascii="Times New Roman" w:hAnsi="Times New Roman" w:eastAsia="仿宋_GB2312" w:cs="Times New Roman"/>
          <w:color w:val="auto"/>
          <w:sz w:val="32"/>
          <w:szCs w:val="32"/>
          <w:highlight w:val="none"/>
          <w:lang w:val="zh-TW" w:eastAsia="zh-TW" w:bidi="zh-TW"/>
        </w:rPr>
        <w:t>零售用户可与其他售电公司签订新的零售合同，否则由保底售电公司代理该部分零售用户，并按照保底售电公司的相关条款</w:t>
      </w:r>
      <w:r>
        <w:rPr>
          <w:rFonts w:hint="default" w:ascii="Times New Roman" w:hAnsi="Times New Roman" w:eastAsia="仿宋_GB2312" w:cs="Times New Roman"/>
          <w:color w:val="auto"/>
          <w:sz w:val="32"/>
          <w:szCs w:val="32"/>
          <w:highlight w:val="none"/>
          <w:lang w:val="zh-TW" w:eastAsia="zh-CN" w:bidi="zh-TW"/>
        </w:rPr>
        <w:t>与其签订零售合同</w:t>
      </w:r>
      <w:r>
        <w:rPr>
          <w:rFonts w:hint="default" w:ascii="Times New Roman" w:hAnsi="Times New Roman" w:eastAsia="仿宋_GB2312" w:cs="Times New Roman"/>
          <w:color w:val="auto"/>
          <w:sz w:val="32"/>
          <w:szCs w:val="32"/>
          <w:highlight w:val="none"/>
          <w:lang w:val="zh-TW" w:eastAsia="zh-TW" w:bidi="zh-TW"/>
        </w:rPr>
        <w:t>，处理好其他相关事宜。</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售电公司自愿申请退出售电市场，应提前45个工作日向</w:t>
      </w:r>
      <w:r>
        <w:rPr>
          <w:rFonts w:hint="default" w:ascii="Times New Roman" w:hAnsi="Times New Roman" w:eastAsia="仿宋_GB2312" w:cs="Times New Roman"/>
          <w:color w:val="auto"/>
          <w:spacing w:val="3"/>
          <w:sz w:val="32"/>
          <w:szCs w:val="32"/>
          <w:highlight w:val="none"/>
          <w:lang w:val="zh-TW" w:eastAsia="zh-CN"/>
        </w:rPr>
        <w:t>新疆电力交易中心</w:t>
      </w:r>
      <w:r>
        <w:rPr>
          <w:rFonts w:hint="default" w:ascii="Times New Roman" w:hAnsi="Times New Roman" w:eastAsia="仿宋_GB2312" w:cs="Times New Roman"/>
          <w:color w:val="auto"/>
          <w:spacing w:val="3"/>
          <w:sz w:val="32"/>
          <w:szCs w:val="32"/>
          <w:highlight w:val="none"/>
          <w:lang w:eastAsia="zh-CN"/>
        </w:rPr>
        <w:t>提交退出申请，明确退出原因和计划的终止交易月。终止交易月之前（含当月），购售电合同由该售电公司继续履行，并处理好终止交易月之后已达成的市场化批零交易合同、交清相关市场费用等事宜。</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对于自愿退出的售电公司，</w:t>
      </w:r>
      <w:r>
        <w:rPr>
          <w:rFonts w:hint="default" w:ascii="Times New Roman" w:hAnsi="Times New Roman" w:eastAsia="仿宋_GB2312" w:cs="Times New Roman"/>
          <w:color w:val="auto"/>
          <w:spacing w:val="3"/>
          <w:sz w:val="32"/>
          <w:szCs w:val="32"/>
          <w:highlight w:val="none"/>
          <w:lang w:val="zh-TW" w:eastAsia="zh-CN"/>
        </w:rPr>
        <w:t>新疆电力交易中心</w:t>
      </w:r>
      <w:r>
        <w:rPr>
          <w:rFonts w:hint="default" w:ascii="Times New Roman" w:hAnsi="Times New Roman" w:eastAsia="仿宋_GB2312" w:cs="Times New Roman"/>
          <w:color w:val="auto"/>
          <w:spacing w:val="3"/>
          <w:sz w:val="32"/>
          <w:szCs w:val="32"/>
          <w:highlight w:val="none"/>
          <w:lang w:eastAsia="zh-CN"/>
        </w:rPr>
        <w:t>将退出申请及相关材料通过电力交易平台、“信用中国”网站等政府指定网站向社会公示10个工作日。公示期满无异议的，方可办理退出市场手续。</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bCs/>
          <w:color w:val="auto"/>
          <w:spacing w:val="3"/>
          <w:sz w:val="32"/>
          <w:szCs w:val="32"/>
          <w:highlight w:val="none"/>
          <w:lang w:eastAsia="zh-CN"/>
        </w:rPr>
        <w:t>在地方电力主管部门和能源监管机构协调下，</w:t>
      </w:r>
      <w:r>
        <w:rPr>
          <w:rFonts w:hint="default" w:ascii="Times New Roman" w:hAnsi="Times New Roman" w:eastAsia="仿宋_GB2312" w:cs="Times New Roman"/>
          <w:color w:val="auto"/>
          <w:spacing w:val="3"/>
          <w:sz w:val="32"/>
          <w:szCs w:val="32"/>
          <w:highlight w:val="none"/>
          <w:lang w:eastAsia="zh-CN"/>
        </w:rPr>
        <w:t>自愿退出售电公司与其他售电公司就合同转让协商一致的，自愿退出售电公司应在终止交易月之前</w:t>
      </w:r>
      <w:r>
        <w:rPr>
          <w:rFonts w:hint="default" w:ascii="Times New Roman" w:hAnsi="Times New Roman" w:eastAsia="仿宋_GB2312" w:cs="Times New Roman"/>
          <w:color w:val="auto"/>
          <w:sz w:val="32"/>
          <w:szCs w:val="32"/>
          <w:highlight w:val="none"/>
          <w:lang w:val="zh-TW" w:eastAsia="zh-CN" w:bidi="zh-TW"/>
        </w:rPr>
        <w:t>通过电力交易平台将剩余合同转</w:t>
      </w:r>
      <w:r>
        <w:rPr>
          <w:rFonts w:hint="default" w:ascii="Times New Roman" w:hAnsi="Times New Roman" w:eastAsia="仿宋_GB2312" w:cs="Times New Roman"/>
          <w:color w:val="auto"/>
          <w:sz w:val="32"/>
          <w:szCs w:val="32"/>
          <w:highlight w:val="none"/>
          <w:lang w:eastAsia="zh-CN" w:bidi="zh-TW"/>
        </w:rPr>
        <w:t>给</w:t>
      </w:r>
      <w:r>
        <w:rPr>
          <w:rFonts w:hint="default" w:ascii="Times New Roman" w:hAnsi="Times New Roman" w:eastAsia="仿宋_GB2312" w:cs="Times New Roman"/>
          <w:color w:val="auto"/>
          <w:sz w:val="32"/>
          <w:szCs w:val="32"/>
          <w:highlight w:val="none"/>
          <w:lang w:val="zh-TW" w:eastAsia="zh-CN" w:bidi="zh-TW"/>
        </w:rPr>
        <w:t>其他售电公司。新疆电力交易中心采用双边协商方式组织开展一次合同电量转让交易，合同受让方为满足准入条件售电公司，转让合同为退出售电公司终止交易月</w:t>
      </w:r>
      <w:r>
        <w:rPr>
          <w:rFonts w:hint="default" w:ascii="Times New Roman" w:hAnsi="Times New Roman" w:eastAsia="仿宋_GB2312" w:cs="Times New Roman"/>
          <w:color w:val="auto"/>
          <w:sz w:val="32"/>
          <w:szCs w:val="32"/>
          <w:highlight w:val="none"/>
          <w:lang w:eastAsia="zh-CN" w:bidi="zh-TW"/>
        </w:rPr>
        <w:t>的</w:t>
      </w:r>
      <w:r>
        <w:rPr>
          <w:rFonts w:hint="default" w:ascii="Times New Roman" w:hAnsi="Times New Roman" w:eastAsia="仿宋_GB2312" w:cs="Times New Roman"/>
          <w:color w:val="auto"/>
          <w:sz w:val="32"/>
          <w:szCs w:val="32"/>
          <w:highlight w:val="none"/>
          <w:lang w:val="zh-TW" w:eastAsia="zh-CN" w:bidi="zh-TW"/>
        </w:rPr>
        <w:t>次月1日至执行期结束的剩余合同，转让价格为</w:t>
      </w:r>
      <w:r>
        <w:rPr>
          <w:rFonts w:hint="default" w:ascii="Times New Roman" w:hAnsi="Times New Roman" w:eastAsia="仿宋_GB2312" w:cs="Times New Roman"/>
          <w:color w:val="auto"/>
          <w:sz w:val="32"/>
          <w:szCs w:val="32"/>
          <w:highlight w:val="none"/>
          <w:lang w:eastAsia="zh-CN" w:bidi="zh-TW"/>
        </w:rPr>
        <w:t>相应月份、相应时段</w:t>
      </w:r>
      <w:r>
        <w:rPr>
          <w:rFonts w:hint="default" w:ascii="Times New Roman" w:hAnsi="Times New Roman" w:eastAsia="仿宋_GB2312" w:cs="Times New Roman"/>
          <w:color w:val="auto"/>
          <w:sz w:val="32"/>
          <w:szCs w:val="32"/>
          <w:highlight w:val="none"/>
          <w:lang w:val="zh-TW" w:eastAsia="zh-CN" w:bidi="zh-TW"/>
        </w:rPr>
        <w:t>剩余合同均价。</w:t>
      </w:r>
      <w:r>
        <w:rPr>
          <w:rFonts w:hint="default" w:ascii="Times New Roman" w:hAnsi="Times New Roman" w:eastAsia="仿宋_GB2312" w:cs="Times New Roman"/>
          <w:color w:val="auto"/>
          <w:sz w:val="32"/>
          <w:szCs w:val="32"/>
          <w:highlight w:val="none"/>
          <w:lang w:eastAsia="zh-CN" w:bidi="zh-TW"/>
        </w:rPr>
        <w:t>未通过转让交易转出的合同，由自愿退出售电公司继续履行。</w:t>
      </w:r>
      <w:r>
        <w:rPr>
          <w:rFonts w:hint="default" w:ascii="Times New Roman" w:hAnsi="Times New Roman" w:eastAsia="仿宋_GB2312" w:cs="Times New Roman"/>
          <w:color w:val="auto"/>
          <w:spacing w:val="3"/>
          <w:sz w:val="32"/>
          <w:szCs w:val="32"/>
          <w:highlight w:val="none"/>
          <w:lang w:eastAsia="zh-CN"/>
        </w:rPr>
        <w:t>对继续履行购售电合同确实存在困难的，其批发合同及电力用户按照有关要求由保底售电公司承接。对购售电合同各方造成的损失由自愿退出售电公司承担。</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应及时将强制退出和自愿退出且公示期满无异议的售电公司从经营主体目录删除，向地方电力主管部门和能源监管机构备案，并通过电力交易平台、“信用中国”网站等政府指定网站向社会公布。拟退出售电公司退出前需结清市场化电费和交易手续费。</w:t>
      </w:r>
      <w:r>
        <w:rPr>
          <w:rFonts w:hint="default" w:ascii="Times New Roman" w:hAnsi="Times New Roman" w:eastAsia="仿宋_GB2312" w:cs="Times New Roman"/>
          <w:color w:val="auto"/>
          <w:spacing w:val="3"/>
          <w:sz w:val="32"/>
          <w:szCs w:val="32"/>
          <w:highlight w:val="none"/>
          <w:lang w:val="zh-TW" w:eastAsia="zh-CN"/>
        </w:rPr>
        <w:t>新疆电力交易中心</w:t>
      </w:r>
      <w:r>
        <w:rPr>
          <w:rFonts w:hint="default" w:ascii="Times New Roman" w:hAnsi="Times New Roman" w:eastAsia="仿宋_GB2312" w:cs="Times New Roman"/>
          <w:color w:val="auto"/>
          <w:spacing w:val="3"/>
          <w:sz w:val="32"/>
          <w:szCs w:val="32"/>
          <w:highlight w:val="none"/>
          <w:lang w:eastAsia="zh-CN"/>
        </w:rPr>
        <w:t>注销售电公司的电力交易平台账号，但保留其历史信息。</w:t>
      </w:r>
    </w:p>
    <w:p>
      <w:pPr>
        <w:pStyle w:val="7"/>
        <w:numPr>
          <w:ilvl w:val="0"/>
          <w:numId w:val="1"/>
        </w:numPr>
        <w:spacing w:before="0" w:line="560" w:lineRule="exact"/>
        <w:ind w:left="0" w:firstLine="652" w:firstLineChars="200"/>
        <w:jc w:val="both"/>
        <w:rPr>
          <w:rFonts w:hint="default" w:ascii="Times New Roman" w:hAnsi="Times New Roman"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 xml:space="preserve">考虑市场化电费差错退补有滞后性，新疆电力交易中心在售电公司退出后保留其履约保函6个月，期满退还。履约保函在退出后6个月内失效的，或售电公司在退出后6个月内办理企业注销、需取回履约保函的，售电公司须与其股东、上级单位或其他有履行能力的第三方协商，由第三方出具连带责任担保并经过公证的承诺书，提交新疆电力交易中心后退还其履约保函。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bookmarkStart w:id="4" w:name="第七章_保底售电"/>
      <w:bookmarkEnd w:id="4"/>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r>
        <w:rPr>
          <w:rFonts w:hint="default" w:ascii="黑体" w:hAnsi="黑体" w:eastAsia="黑体" w:cs="黑体"/>
          <w:color w:val="auto"/>
          <w:kern w:val="2"/>
          <w:sz w:val="32"/>
          <w:szCs w:val="32"/>
          <w:highlight w:val="none"/>
          <w:lang w:eastAsia="zh-CN"/>
        </w:rPr>
        <w:t>第</w:t>
      </w:r>
      <w:r>
        <w:rPr>
          <w:rFonts w:hint="eastAsia" w:ascii="黑体" w:hAnsi="黑体" w:eastAsia="黑体" w:cs="黑体"/>
          <w:color w:val="auto"/>
          <w:kern w:val="2"/>
          <w:sz w:val="32"/>
          <w:szCs w:val="32"/>
          <w:highlight w:val="none"/>
          <w:lang w:eastAsia="zh-CN"/>
        </w:rPr>
        <w:t>六</w:t>
      </w:r>
      <w:r>
        <w:rPr>
          <w:rFonts w:hint="default" w:ascii="黑体" w:hAnsi="黑体" w:eastAsia="黑体" w:cs="黑体"/>
          <w:color w:val="auto"/>
          <w:kern w:val="2"/>
          <w:sz w:val="32"/>
          <w:szCs w:val="32"/>
          <w:highlight w:val="none"/>
          <w:lang w:eastAsia="zh-CN"/>
        </w:rPr>
        <w:t>章 保底售电</w:t>
      </w:r>
    </w:p>
    <w:p>
      <w:pPr>
        <w:pStyle w:val="22"/>
        <w:numPr>
          <w:ilvl w:val="0"/>
          <w:numId w:val="1"/>
        </w:numPr>
        <w:spacing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新疆电力交易中心按照注册资本金或资产总额2亿元以上、年度电力市场信用评级AA 级以上标准筛选符合条件的保底售电公司名单，并向社会公示，公示期为10个工作日。公示期内，保底售电公司可向新疆电力交易中心申请自愿放弃保底服务资格，未反馈异议则表明售电公司自愿承接保底售电业务。新疆电力交易中心应将公示无异议的保底售电公司名单报送地方电力主管部门。</w:t>
      </w:r>
    </w:p>
    <w:p>
      <w:pPr>
        <w:pStyle w:val="22"/>
        <w:numPr>
          <w:ilvl w:val="0"/>
          <w:numId w:val="1"/>
        </w:numPr>
        <w:spacing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保底售电公司每年确定一次，具体由地方电力主管部门确定。</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保底售电服务由新疆电力交易中心报地方电力主管部门和能源监管机构同意后，方可启动：</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（一）启动条件。</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1.存在售电公司未在截止期限前缴清结算费用。</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2.存在售电公司不符合市场履约风险有关要求。</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3.存在售电公司自愿或强制退出市场，其购售电合同经自主协商、整体转让未处理完成。</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4.其他需要启动保底售电服务的情况。</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（二）服务内容。</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1.确认启动保底售电服务后，从满足条件的保底售电公司中按照保函额度自高到低排序，选择当月保函额度最高的售电公司，作为本次承接保底服务的售电公司。保底售电公司原则上年内不重复，已承接过保底服务的售电公司不参与年内后续保底服务，若全部售电公司均已承接，按上述方式重新排名。因触发保底服务对批发合同各方、电力用户造成的损失由拟退出售电公司承担。</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2.保底售电公司确认后，新疆电力交易中心书面通知保底售电公司、拟退出售电公司，以及拟退出售电公司的电力用户。保底售电公司从发出通知的次月起承接电力用户服务，其保底服务对应的市场化交易单独结算。电力用户次月起不再执行其与原售电公司签订的零售合同。执行保底零售价格满一个月后，电力用户可自主选择与其他售电公司（包括保底售电公司）协商签订新的零售合同，保底售电公司不得以任何理由阻挠。</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（三）保底零售价格。中长期模式下，保底零售价格按照结算当月电网企业代理购电价格的1.5倍执行，具体价格水平由</w:t>
      </w:r>
      <w:r>
        <w:rPr>
          <w:rFonts w:hint="default" w:ascii="Times New Roman" w:hAnsi="Times New Roman" w:eastAsia="仿宋_GB2312" w:cs="Times New Roman"/>
          <w:color w:val="auto"/>
          <w:kern w:val="2"/>
          <w:sz w:val="32"/>
          <w:szCs w:val="32"/>
          <w:highlight w:val="none"/>
          <w:lang w:eastAsia="zh-CN"/>
        </w:rPr>
        <w:t>价格主管部门</w:t>
      </w:r>
      <w:r>
        <w:rPr>
          <w:rFonts w:hint="default" w:ascii="Times New Roman" w:hAnsi="Times New Roman" w:eastAsia="仿宋_GB2312" w:cs="Times New Roman"/>
          <w:color w:val="auto"/>
          <w:spacing w:val="3"/>
          <w:sz w:val="32"/>
          <w:szCs w:val="32"/>
          <w:highlight w:val="none"/>
          <w:lang w:eastAsia="zh-CN"/>
        </w:rPr>
        <w:t>确定。现货试运行或正式运行期间，由价格主管部门根据电力市场实际价格及保底成本确定分时保底零售价格，并定期调整。保底成本包括因用户数量不确定导致的成本上升、极端因素导致的风险成本等。原则上，保底电价不得低于实际现货市场均价的2倍。初期，保底电价按照结算上月实际现货市场加权平均价格的2倍执行。</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（四）兜底原则。若全部保底售电公司由于经营困难等原因，无法承接保底售电服务，或无保底售电公司承接保底业务，由电网企业提供保底供电服务，执行保底零售价格。</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（五）保底售电业务监管。保底售电公司须将保底售电业务单独记账、独立核算，并定期将相关价格水平、盈亏情况上报</w:t>
      </w:r>
      <w:r>
        <w:rPr>
          <w:rFonts w:hint="default" w:ascii="Times New Roman" w:hAnsi="Times New Roman" w:eastAsia="仿宋_GB2312" w:cs="Times New Roman"/>
          <w:color w:val="auto"/>
          <w:spacing w:val="3"/>
          <w:sz w:val="32"/>
          <w:szCs w:val="32"/>
          <w:highlight w:val="none"/>
          <w:lang w:eastAsia="zh-CN" w:bidi="zh-TW"/>
        </w:rPr>
        <w:t>地方电力主管部门</w:t>
      </w:r>
      <w:r>
        <w:rPr>
          <w:rFonts w:hint="default" w:ascii="Times New Roman" w:hAnsi="Times New Roman" w:eastAsia="仿宋_GB2312" w:cs="Times New Roman"/>
          <w:color w:val="auto"/>
          <w:spacing w:val="3"/>
          <w:sz w:val="32"/>
          <w:szCs w:val="32"/>
          <w:highlight w:val="none"/>
          <w:lang w:eastAsia="zh-CN"/>
        </w:rPr>
        <w:t>。</w:t>
      </w:r>
    </w:p>
    <w:p>
      <w:pPr>
        <w:pStyle w:val="7"/>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（六）拥有配电网运营权的售电公司申请自愿退出时，应妥善处置配电资产。若无其他公司承担该地区配电业务，由电网企业接收并提供保底供电服务。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bookmarkStart w:id="5" w:name="第八章_售电公司信用与监管"/>
      <w:bookmarkEnd w:id="5"/>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r>
        <w:rPr>
          <w:rFonts w:hint="default" w:ascii="黑体" w:hAnsi="黑体" w:eastAsia="黑体" w:cs="黑体"/>
          <w:color w:val="auto"/>
          <w:kern w:val="2"/>
          <w:sz w:val="32"/>
          <w:szCs w:val="32"/>
          <w:highlight w:val="none"/>
          <w:lang w:eastAsia="zh-CN"/>
        </w:rPr>
        <w:t>第</w:t>
      </w:r>
      <w:r>
        <w:rPr>
          <w:rFonts w:hint="eastAsia" w:ascii="黑体" w:hAnsi="黑体" w:eastAsia="黑体" w:cs="黑体"/>
          <w:color w:val="auto"/>
          <w:kern w:val="2"/>
          <w:sz w:val="32"/>
          <w:szCs w:val="32"/>
          <w:highlight w:val="none"/>
          <w:lang w:eastAsia="zh-CN"/>
        </w:rPr>
        <w:t>七</w:t>
      </w:r>
      <w:r>
        <w:rPr>
          <w:rFonts w:hint="default" w:ascii="黑体" w:hAnsi="黑体" w:eastAsia="黑体" w:cs="黑体"/>
          <w:color w:val="auto"/>
          <w:kern w:val="2"/>
          <w:sz w:val="32"/>
          <w:szCs w:val="32"/>
          <w:highlight w:val="none"/>
          <w:lang w:eastAsia="zh-CN"/>
        </w:rPr>
        <w:t>章</w:t>
      </w:r>
      <w:r>
        <w:rPr>
          <w:rFonts w:hint="eastAsia" w:ascii="黑体" w:hAnsi="黑体" w:eastAsia="黑体" w:cs="黑体"/>
          <w:color w:val="auto"/>
          <w:kern w:val="2"/>
          <w:sz w:val="32"/>
          <w:szCs w:val="32"/>
          <w:highlight w:val="none"/>
          <w:lang w:val="en-US" w:eastAsia="zh-CN"/>
        </w:rPr>
        <w:t xml:space="preserve"> </w:t>
      </w:r>
      <w:r>
        <w:rPr>
          <w:rFonts w:hint="default" w:ascii="黑体" w:hAnsi="黑体" w:eastAsia="黑体" w:cs="黑体"/>
          <w:color w:val="auto"/>
          <w:kern w:val="2"/>
          <w:sz w:val="32"/>
          <w:szCs w:val="32"/>
          <w:highlight w:val="none"/>
          <w:lang w:eastAsia="zh-CN"/>
        </w:rPr>
        <w:t>信用评价与监管</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地方电力主管部门授权新疆电力交易中心开展售电公司信用评价工作,开展信用评价工作不向售电主体收取费用。</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依托国家及自治区公共信用综合评价标准体系逐步完善售电公司信用评价体系。依托新疆电力交易平台开发建设售电公司信用信息系统。建立和完善企业法人及其法定代表人、董事、监事、高级管理人员信用记录，将其纳入全国信用信息共享平台，确保各类企业的信用状况透明，可追溯、可核查。</w:t>
      </w:r>
    </w:p>
    <w:p>
      <w:pPr>
        <w:pStyle w:val="7"/>
        <w:numPr>
          <w:ilvl w:val="0"/>
          <w:numId w:val="1"/>
        </w:numPr>
        <w:tabs>
          <w:tab w:val="left" w:pos="5104"/>
        </w:tabs>
        <w:spacing w:before="0" w:line="560" w:lineRule="exact"/>
        <w:ind w:left="0" w:firstLine="640"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新疆电力市场售电公司的信用评价工作坚持依法合规、客观公正、公开透明、政府推动、社会共建的原则开展。</w:t>
      </w:r>
    </w:p>
    <w:p>
      <w:pPr>
        <w:pStyle w:val="7"/>
        <w:numPr>
          <w:ilvl w:val="0"/>
          <w:numId w:val="1"/>
        </w:numPr>
        <w:tabs>
          <w:tab w:val="left" w:pos="5104"/>
        </w:tabs>
        <w:spacing w:before="0" w:line="560" w:lineRule="exact"/>
        <w:ind w:left="0" w:firstLine="640"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在新疆电力交易中心注册（含其他网省推送至新疆的售电公司），代理零售用户开展疆内业务的售电公司按照本细则要求参与信用评价。疆内注册推送至其他网省、开展跨省区交易的售电公司暂不开展信用评价。</w:t>
      </w:r>
    </w:p>
    <w:p>
      <w:pPr>
        <w:pStyle w:val="7"/>
        <w:numPr>
          <w:ilvl w:val="0"/>
          <w:numId w:val="1"/>
        </w:numPr>
        <w:spacing w:before="0" w:line="560" w:lineRule="exact"/>
        <w:ind w:left="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规范开展新疆电力市场售电公司信用评价周期、评价流程及其他评价工作，</w:t>
      </w:r>
      <w:r>
        <w:rPr>
          <w:rFonts w:hint="default" w:ascii="Times New Roman" w:hAnsi="Times New Roman" w:eastAsia="仿宋_GB2312" w:cs="Times New Roman"/>
          <w:color w:val="auto"/>
          <w:spacing w:val="3"/>
          <w:sz w:val="32"/>
          <w:szCs w:val="32"/>
          <w:highlight w:val="none"/>
          <w:lang w:eastAsia="zh-CN"/>
        </w:rPr>
        <w:t>若后期政策发生变动，按照最新政策执行。</w:t>
      </w:r>
    </w:p>
    <w:p>
      <w:pPr>
        <w:pStyle w:val="7"/>
        <w:numPr>
          <w:ilvl w:val="0"/>
          <w:numId w:val="1"/>
        </w:numPr>
        <w:spacing w:before="0" w:line="560" w:lineRule="exact"/>
        <w:ind w:left="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zh-CN" w:eastAsia="zh-CN"/>
        </w:rPr>
        <w:t>售电公司未按要求持续满足注册条件的，新疆电力交易中心应立即通知售电公司限期整改，并发布暂停交易预警。售电公司在5个工作日内无法做出合理解释并补全相关资料的，新疆电力交易中心应暂停其交易资格，售电公司未在2个月内整改到位的，经</w:t>
      </w:r>
      <w:r>
        <w:rPr>
          <w:rFonts w:hint="default" w:ascii="Times New Roman" w:hAnsi="Times New Roman" w:eastAsia="仿宋_GB2312" w:cs="Times New Roman"/>
          <w:color w:val="auto"/>
          <w:sz w:val="32"/>
          <w:szCs w:val="32"/>
          <w:highlight w:val="none"/>
          <w:lang w:eastAsia="zh-CN"/>
        </w:rPr>
        <w:t>地方电力主管部门</w:t>
      </w:r>
      <w:r>
        <w:rPr>
          <w:rFonts w:hint="default" w:ascii="Times New Roman" w:hAnsi="Times New Roman" w:eastAsia="仿宋_GB2312" w:cs="Times New Roman"/>
          <w:color w:val="auto"/>
          <w:sz w:val="32"/>
          <w:szCs w:val="32"/>
          <w:highlight w:val="none"/>
          <w:lang w:val="zh-CN" w:eastAsia="zh-CN"/>
        </w:rPr>
        <w:t>同意后予以强制退出，同时将相关信息推送至全国信用信息共享平台。</w:t>
      </w:r>
    </w:p>
    <w:p>
      <w:pPr>
        <w:pStyle w:val="7"/>
        <w:numPr>
          <w:ilvl w:val="0"/>
          <w:numId w:val="1"/>
        </w:numPr>
        <w:spacing w:before="0" w:line="560" w:lineRule="exact"/>
        <w:ind w:left="0" w:firstLine="652" w:firstLineChars="200"/>
        <w:jc w:val="both"/>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color w:val="auto"/>
          <w:spacing w:val="3"/>
          <w:sz w:val="32"/>
          <w:szCs w:val="32"/>
          <w:highlight w:val="none"/>
          <w:lang w:eastAsia="zh-CN"/>
        </w:rPr>
        <w:t>地方电力主管部门、能源监管机构根据职责对售电公司进行监管。地方电力主管部门对售电公司与售电公司、电力用户间发生的违反交易规则和失信行为按规定进行处理，记入信用记录，情节特别严重或拒不整改的，对其违法失信行为予以公开。能源监管机构对售电公司执行交易规则、参与批发市场交易行为进行监管，并按照有关规定对违规行为进行处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黑体" w:hAnsi="黑体" w:eastAsia="黑体" w:cs="黑体"/>
          <w:color w:val="auto"/>
          <w:kern w:val="2"/>
          <w:sz w:val="32"/>
          <w:szCs w:val="32"/>
          <w:highlight w:val="none"/>
          <w:lang w:eastAsia="zh-CN"/>
        </w:rPr>
      </w:pPr>
      <w:r>
        <w:rPr>
          <w:rFonts w:hint="default" w:ascii="黑体" w:hAnsi="黑体" w:eastAsia="黑体" w:cs="黑体"/>
          <w:color w:val="auto"/>
          <w:kern w:val="2"/>
          <w:sz w:val="32"/>
          <w:szCs w:val="32"/>
          <w:highlight w:val="none"/>
          <w:lang w:eastAsia="zh-CN"/>
        </w:rPr>
        <w:t>第</w:t>
      </w:r>
      <w:r>
        <w:rPr>
          <w:rFonts w:hint="eastAsia" w:ascii="黑体" w:hAnsi="黑体" w:eastAsia="黑体" w:cs="黑体"/>
          <w:color w:val="auto"/>
          <w:kern w:val="2"/>
          <w:sz w:val="32"/>
          <w:szCs w:val="32"/>
          <w:highlight w:val="none"/>
          <w:lang w:eastAsia="zh-CN"/>
        </w:rPr>
        <w:t>八</w:t>
      </w:r>
      <w:r>
        <w:rPr>
          <w:rFonts w:hint="default" w:ascii="黑体" w:hAnsi="黑体" w:eastAsia="黑体" w:cs="黑体"/>
          <w:color w:val="auto"/>
          <w:kern w:val="2"/>
          <w:sz w:val="32"/>
          <w:szCs w:val="32"/>
          <w:highlight w:val="none"/>
          <w:lang w:eastAsia="zh-CN"/>
        </w:rPr>
        <w:t>章 附则</w:t>
      </w:r>
    </w:p>
    <w:p>
      <w:pPr>
        <w:pStyle w:val="7"/>
        <w:numPr>
          <w:ilvl w:val="0"/>
          <w:numId w:val="1"/>
        </w:numPr>
        <w:tabs>
          <w:tab w:val="left" w:pos="850"/>
          <w:tab w:val="left" w:pos="1276"/>
          <w:tab w:val="left" w:pos="4678"/>
        </w:tabs>
        <w:spacing w:before="0" w:line="560" w:lineRule="exact"/>
        <w:ind w:left="0" w:firstLine="640" w:firstLineChars="200"/>
        <w:jc w:val="both"/>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本细则由地方电力主管部门负责解释。</w:t>
      </w:r>
    </w:p>
    <w:p>
      <w:pPr>
        <w:pStyle w:val="7"/>
        <w:numPr>
          <w:ilvl w:val="0"/>
          <w:numId w:val="1"/>
        </w:numPr>
        <w:tabs>
          <w:tab w:val="left" w:pos="850"/>
          <w:tab w:val="left" w:pos="1276"/>
          <w:tab w:val="left" w:pos="4678"/>
        </w:tabs>
        <w:spacing w:before="0" w:line="560" w:lineRule="exact"/>
        <w:ind w:left="0" w:firstLine="648" w:firstLineChars="200"/>
        <w:jc w:val="both"/>
        <w:rPr>
          <w:rFonts w:hint="default" w:ascii="Times New Roman" w:hAnsi="Times New Roman" w:eastAsia="方正仿宋_GBK" w:cs="Times New Roman"/>
          <w:color w:val="auto"/>
          <w:highlight w:val="none"/>
          <w:lang w:eastAsia="zh-CN"/>
        </w:rPr>
      </w:pPr>
      <w:r>
        <w:rPr>
          <w:rFonts w:hint="default" w:ascii="Times New Roman" w:hAnsi="Times New Roman" w:eastAsia="仿宋_GB2312" w:cs="Times New Roman"/>
          <w:color w:val="auto"/>
          <w:spacing w:val="2"/>
          <w:sz w:val="32"/>
          <w:szCs w:val="32"/>
          <w:highlight w:val="none"/>
          <w:lang w:eastAsia="zh-CN"/>
        </w:rPr>
        <w:t>本细则自2024年1月17日起执行，有效期5年。</w:t>
      </w:r>
    </w:p>
    <w:sectPr>
      <w:headerReference r:id="rId3" w:type="default"/>
      <w:footerReference r:id="rId4" w:type="default"/>
      <w:type w:val="continuous"/>
      <w:pgSz w:w="11906" w:h="16838"/>
      <w:pgMar w:top="2098" w:right="1531" w:bottom="1984" w:left="153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80000283" w:usb1="180F1C10" w:usb2="00000016" w:usb3="00000000" w:csb0="40040001" w:csb1="C0D6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283" w:usb1="180F1C10" w:usb2="00000016" w:usb3="00000000" w:csb0="40040001" w:csb1="C0D6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80000287" w:usb1="188F1C12" w:usb2="00000016" w:usb3="00000000" w:csb0="60040009" w:csb1="D1D70000"/>
  </w:font>
  <w:font w:name="Cambria">
    <w:altName w:val="Noto Sans Syriac Eastern"/>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283" w:usb1="180F1C10" w:usb2="00000016" w:usb3="00000000" w:csb0="40040001" w:csb1="C0D60000"/>
  </w:font>
  <w:font w:name="等线 Light">
    <w:panose1 w:val="02010600030101010101"/>
    <w:charset w:val="86"/>
    <w:family w:val="auto"/>
    <w:pitch w:val="default"/>
    <w:sig w:usb0="80000287" w:usb1="188F1C12" w:usb2="00000016" w:usb3="00000000" w:csb0="60040009" w:csb1="D1D70000"/>
  </w:font>
  <w:font w:name="方正小标宋_GBK">
    <w:panose1 w:val="02000000000000000000"/>
    <w:charset w:val="86"/>
    <w:family w:val="script"/>
    <w:pitch w:val="default"/>
    <w:sig w:usb0="00000283" w:usb1="180F1C10" w:usb2="00000016" w:usb3="00000000" w:csb0="40040001" w:csb1="C0D6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bookmarkStart w:id="6" w:name="_GoBack"/>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bookmarkEnd w:id="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2261C"/>
    <w:multiLevelType w:val="multilevel"/>
    <w:tmpl w:val="E4C2261C"/>
    <w:lvl w:ilvl="0" w:tentative="0">
      <w:start w:val="1"/>
      <w:numFmt w:val="chineseCounting"/>
      <w:suff w:val="nothing"/>
      <w:lvlText w:val="第%1条 "/>
      <w:lvlJc w:val="left"/>
      <w:pPr>
        <w:tabs>
          <w:tab w:val="left" w:pos="1984"/>
        </w:tabs>
        <w:ind w:left="2409" w:hanging="425"/>
      </w:pPr>
      <w:rPr>
        <w:rFonts w:hint="eastAsia" w:ascii="宋体" w:hAnsi="宋体" w:eastAsia="楷体_GB2312" w:cs="宋体"/>
        <w:color w:val="auto"/>
        <w:sz w:val="32"/>
        <w:lang w:val="en-US"/>
      </w:rPr>
    </w:lvl>
    <w:lvl w:ilvl="1" w:tentative="0">
      <w:start w:val="1"/>
      <w:numFmt w:val="decimal"/>
      <w:isLgl/>
      <w:lvlText w:val="%1.%2."/>
      <w:lvlJc w:val="left"/>
      <w:pPr>
        <w:ind w:left="-3828" w:hanging="567"/>
      </w:pPr>
      <w:rPr>
        <w:rFonts w:hint="eastAsia"/>
      </w:rPr>
    </w:lvl>
    <w:lvl w:ilvl="2" w:tentative="0">
      <w:start w:val="1"/>
      <w:numFmt w:val="decimal"/>
      <w:isLgl/>
      <w:lvlText w:val="%1.%2.%3."/>
      <w:lvlJc w:val="left"/>
      <w:pPr>
        <w:ind w:left="-3686" w:hanging="709"/>
      </w:pPr>
      <w:rPr>
        <w:rFonts w:hint="eastAsia"/>
      </w:rPr>
    </w:lvl>
    <w:lvl w:ilvl="3" w:tentative="0">
      <w:start w:val="1"/>
      <w:numFmt w:val="decimal"/>
      <w:isLgl/>
      <w:lvlText w:val="%1.%2.%3.%4."/>
      <w:lvlJc w:val="left"/>
      <w:pPr>
        <w:ind w:left="-3545" w:hanging="850"/>
      </w:pPr>
      <w:rPr>
        <w:rFonts w:hint="eastAsia"/>
      </w:rPr>
    </w:lvl>
    <w:lvl w:ilvl="4" w:tentative="0">
      <w:start w:val="1"/>
      <w:numFmt w:val="decimal"/>
      <w:isLgl/>
      <w:lvlText w:val="%1.%2.%3.%4.%5."/>
      <w:lvlJc w:val="left"/>
      <w:pPr>
        <w:ind w:left="-3404" w:hanging="991"/>
      </w:pPr>
      <w:rPr>
        <w:rFonts w:hint="eastAsia"/>
      </w:rPr>
    </w:lvl>
    <w:lvl w:ilvl="5" w:tentative="0">
      <w:start w:val="1"/>
      <w:numFmt w:val="decimal"/>
      <w:isLgl/>
      <w:lvlText w:val="%1.%2.%3.%4.%5.%6."/>
      <w:lvlJc w:val="left"/>
      <w:pPr>
        <w:ind w:left="-3261" w:hanging="1134"/>
      </w:pPr>
      <w:rPr>
        <w:rFonts w:hint="eastAsia"/>
      </w:rPr>
    </w:lvl>
    <w:lvl w:ilvl="6" w:tentative="0">
      <w:start w:val="1"/>
      <w:numFmt w:val="decimal"/>
      <w:isLgl/>
      <w:lvlText w:val="%1.%2.%3.%4.%5.%6.%7."/>
      <w:lvlJc w:val="left"/>
      <w:pPr>
        <w:ind w:left="-3120" w:hanging="1275"/>
      </w:pPr>
      <w:rPr>
        <w:rFonts w:hint="eastAsia"/>
      </w:rPr>
    </w:lvl>
    <w:lvl w:ilvl="7" w:tentative="0">
      <w:start w:val="1"/>
      <w:numFmt w:val="decimal"/>
      <w:isLgl/>
      <w:lvlText w:val="%1.%2.%3.%4.%5.%6.%7.%8."/>
      <w:lvlJc w:val="left"/>
      <w:pPr>
        <w:ind w:left="-2977" w:hanging="1418"/>
      </w:pPr>
      <w:rPr>
        <w:rFonts w:hint="eastAsia"/>
      </w:rPr>
    </w:lvl>
    <w:lvl w:ilvl="8" w:tentative="0">
      <w:start w:val="1"/>
      <w:numFmt w:val="decimal"/>
      <w:isLgl/>
      <w:lvlText w:val="%1.%2.%3.%4.%5.%6.%7.%8.%9."/>
      <w:lvlJc w:val="left"/>
      <w:pPr>
        <w:ind w:left="-2837"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716"/>
    <w:rsid w:val="0000080C"/>
    <w:rsid w:val="0000090B"/>
    <w:rsid w:val="00001913"/>
    <w:rsid w:val="0000428F"/>
    <w:rsid w:val="00005D0A"/>
    <w:rsid w:val="000117E7"/>
    <w:rsid w:val="00015848"/>
    <w:rsid w:val="00022845"/>
    <w:rsid w:val="000510EF"/>
    <w:rsid w:val="00051137"/>
    <w:rsid w:val="00062664"/>
    <w:rsid w:val="000669D1"/>
    <w:rsid w:val="00067295"/>
    <w:rsid w:val="0009254D"/>
    <w:rsid w:val="000D1087"/>
    <w:rsid w:val="00105F42"/>
    <w:rsid w:val="00120021"/>
    <w:rsid w:val="00126977"/>
    <w:rsid w:val="0013417C"/>
    <w:rsid w:val="001415A1"/>
    <w:rsid w:val="001531E2"/>
    <w:rsid w:val="001532F2"/>
    <w:rsid w:val="0015358A"/>
    <w:rsid w:val="001548B2"/>
    <w:rsid w:val="00154D4E"/>
    <w:rsid w:val="001555E9"/>
    <w:rsid w:val="00172A27"/>
    <w:rsid w:val="001745EF"/>
    <w:rsid w:val="00180420"/>
    <w:rsid w:val="00184B07"/>
    <w:rsid w:val="00184DC7"/>
    <w:rsid w:val="001A0DF2"/>
    <w:rsid w:val="001A37BF"/>
    <w:rsid w:val="001B1CA1"/>
    <w:rsid w:val="001B573D"/>
    <w:rsid w:val="001B636B"/>
    <w:rsid w:val="001B69F2"/>
    <w:rsid w:val="001C06CC"/>
    <w:rsid w:val="001C2285"/>
    <w:rsid w:val="001C7F0E"/>
    <w:rsid w:val="001D2334"/>
    <w:rsid w:val="001D4C29"/>
    <w:rsid w:val="001D736B"/>
    <w:rsid w:val="001E1405"/>
    <w:rsid w:val="001E2F5E"/>
    <w:rsid w:val="00202BD2"/>
    <w:rsid w:val="002060C9"/>
    <w:rsid w:val="00210CE4"/>
    <w:rsid w:val="002157D5"/>
    <w:rsid w:val="00216D9F"/>
    <w:rsid w:val="00220434"/>
    <w:rsid w:val="002251BE"/>
    <w:rsid w:val="0023058C"/>
    <w:rsid w:val="0024071B"/>
    <w:rsid w:val="00245DC4"/>
    <w:rsid w:val="002543F1"/>
    <w:rsid w:val="0025553B"/>
    <w:rsid w:val="0027026D"/>
    <w:rsid w:val="00273028"/>
    <w:rsid w:val="002737D6"/>
    <w:rsid w:val="002758D6"/>
    <w:rsid w:val="002765BB"/>
    <w:rsid w:val="0028299D"/>
    <w:rsid w:val="002941BD"/>
    <w:rsid w:val="00294308"/>
    <w:rsid w:val="00296317"/>
    <w:rsid w:val="002A12B5"/>
    <w:rsid w:val="002B73EE"/>
    <w:rsid w:val="002C1858"/>
    <w:rsid w:val="002C513E"/>
    <w:rsid w:val="002C75A4"/>
    <w:rsid w:val="002D0507"/>
    <w:rsid w:val="002D344C"/>
    <w:rsid w:val="002D4FE0"/>
    <w:rsid w:val="002D55A2"/>
    <w:rsid w:val="002D73B1"/>
    <w:rsid w:val="002E12A8"/>
    <w:rsid w:val="002E5EFF"/>
    <w:rsid w:val="002F02A4"/>
    <w:rsid w:val="00303384"/>
    <w:rsid w:val="00304E9C"/>
    <w:rsid w:val="003109DB"/>
    <w:rsid w:val="00310DD7"/>
    <w:rsid w:val="00354275"/>
    <w:rsid w:val="003558AC"/>
    <w:rsid w:val="00357494"/>
    <w:rsid w:val="00367B29"/>
    <w:rsid w:val="00386597"/>
    <w:rsid w:val="0039529E"/>
    <w:rsid w:val="003A4D34"/>
    <w:rsid w:val="003D630F"/>
    <w:rsid w:val="003E16EC"/>
    <w:rsid w:val="003E5A7D"/>
    <w:rsid w:val="003F096E"/>
    <w:rsid w:val="003F6141"/>
    <w:rsid w:val="00402A19"/>
    <w:rsid w:val="004062CF"/>
    <w:rsid w:val="004252B0"/>
    <w:rsid w:val="0047574A"/>
    <w:rsid w:val="00477834"/>
    <w:rsid w:val="00483B7B"/>
    <w:rsid w:val="00486DEF"/>
    <w:rsid w:val="00494C99"/>
    <w:rsid w:val="004A7F3F"/>
    <w:rsid w:val="004B44A8"/>
    <w:rsid w:val="004C4EE6"/>
    <w:rsid w:val="004C74E1"/>
    <w:rsid w:val="004C792F"/>
    <w:rsid w:val="004D24EB"/>
    <w:rsid w:val="004D2980"/>
    <w:rsid w:val="004D3067"/>
    <w:rsid w:val="004E120C"/>
    <w:rsid w:val="004F0094"/>
    <w:rsid w:val="004F043E"/>
    <w:rsid w:val="004F31F1"/>
    <w:rsid w:val="004F4F84"/>
    <w:rsid w:val="00501A90"/>
    <w:rsid w:val="00513C98"/>
    <w:rsid w:val="00515571"/>
    <w:rsid w:val="00527FFB"/>
    <w:rsid w:val="005317A8"/>
    <w:rsid w:val="00540250"/>
    <w:rsid w:val="0054135F"/>
    <w:rsid w:val="005545C0"/>
    <w:rsid w:val="00555BF7"/>
    <w:rsid w:val="00566018"/>
    <w:rsid w:val="00567BB1"/>
    <w:rsid w:val="0058158C"/>
    <w:rsid w:val="00582831"/>
    <w:rsid w:val="005941B2"/>
    <w:rsid w:val="005B0A12"/>
    <w:rsid w:val="005B42A1"/>
    <w:rsid w:val="005B7D21"/>
    <w:rsid w:val="005C549A"/>
    <w:rsid w:val="005D6E48"/>
    <w:rsid w:val="005E24A7"/>
    <w:rsid w:val="005E3F05"/>
    <w:rsid w:val="005E3F06"/>
    <w:rsid w:val="005E49CB"/>
    <w:rsid w:val="005F1CF2"/>
    <w:rsid w:val="00604049"/>
    <w:rsid w:val="006162D3"/>
    <w:rsid w:val="00616599"/>
    <w:rsid w:val="00625D79"/>
    <w:rsid w:val="00650463"/>
    <w:rsid w:val="00654EC6"/>
    <w:rsid w:val="00662EC3"/>
    <w:rsid w:val="00674325"/>
    <w:rsid w:val="0067544E"/>
    <w:rsid w:val="00676477"/>
    <w:rsid w:val="0068595C"/>
    <w:rsid w:val="0069080E"/>
    <w:rsid w:val="006C289C"/>
    <w:rsid w:val="006D001C"/>
    <w:rsid w:val="006D2FC9"/>
    <w:rsid w:val="006D69AA"/>
    <w:rsid w:val="006E42C3"/>
    <w:rsid w:val="006E63D7"/>
    <w:rsid w:val="006F248F"/>
    <w:rsid w:val="006F522C"/>
    <w:rsid w:val="00701B66"/>
    <w:rsid w:val="007033CF"/>
    <w:rsid w:val="00705D51"/>
    <w:rsid w:val="00706BF2"/>
    <w:rsid w:val="00707FB4"/>
    <w:rsid w:val="007167A4"/>
    <w:rsid w:val="00721D6C"/>
    <w:rsid w:val="00731505"/>
    <w:rsid w:val="00732BBE"/>
    <w:rsid w:val="00753456"/>
    <w:rsid w:val="007652C6"/>
    <w:rsid w:val="00766426"/>
    <w:rsid w:val="00775E38"/>
    <w:rsid w:val="00787EA4"/>
    <w:rsid w:val="00796DA6"/>
    <w:rsid w:val="007A4A9F"/>
    <w:rsid w:val="007B7B3C"/>
    <w:rsid w:val="007C5088"/>
    <w:rsid w:val="007C5560"/>
    <w:rsid w:val="007D3366"/>
    <w:rsid w:val="007D47FB"/>
    <w:rsid w:val="007D4AAA"/>
    <w:rsid w:val="007F505E"/>
    <w:rsid w:val="007F50FC"/>
    <w:rsid w:val="008016F8"/>
    <w:rsid w:val="00807CFD"/>
    <w:rsid w:val="00815C69"/>
    <w:rsid w:val="008348F7"/>
    <w:rsid w:val="00835DC5"/>
    <w:rsid w:val="00840C90"/>
    <w:rsid w:val="008439DB"/>
    <w:rsid w:val="00850403"/>
    <w:rsid w:val="00851971"/>
    <w:rsid w:val="00853934"/>
    <w:rsid w:val="0085663B"/>
    <w:rsid w:val="00860AA5"/>
    <w:rsid w:val="00866D10"/>
    <w:rsid w:val="00873CAA"/>
    <w:rsid w:val="008763D3"/>
    <w:rsid w:val="00892829"/>
    <w:rsid w:val="008A5A89"/>
    <w:rsid w:val="008A6661"/>
    <w:rsid w:val="008B01CA"/>
    <w:rsid w:val="008B525E"/>
    <w:rsid w:val="008F0687"/>
    <w:rsid w:val="008F3044"/>
    <w:rsid w:val="00901F68"/>
    <w:rsid w:val="0091042B"/>
    <w:rsid w:val="00910BC6"/>
    <w:rsid w:val="00923667"/>
    <w:rsid w:val="0093054B"/>
    <w:rsid w:val="00950C6E"/>
    <w:rsid w:val="009575A5"/>
    <w:rsid w:val="009702DD"/>
    <w:rsid w:val="009769CB"/>
    <w:rsid w:val="00991453"/>
    <w:rsid w:val="0099457C"/>
    <w:rsid w:val="00995567"/>
    <w:rsid w:val="009B6069"/>
    <w:rsid w:val="009C2AF2"/>
    <w:rsid w:val="009C5129"/>
    <w:rsid w:val="009E5062"/>
    <w:rsid w:val="009F1F97"/>
    <w:rsid w:val="009F2E5F"/>
    <w:rsid w:val="009F4B09"/>
    <w:rsid w:val="00A00B28"/>
    <w:rsid w:val="00A028F5"/>
    <w:rsid w:val="00A227AA"/>
    <w:rsid w:val="00A4215C"/>
    <w:rsid w:val="00A45678"/>
    <w:rsid w:val="00A60072"/>
    <w:rsid w:val="00A7148E"/>
    <w:rsid w:val="00A75E2E"/>
    <w:rsid w:val="00A77D03"/>
    <w:rsid w:val="00A81F63"/>
    <w:rsid w:val="00A87414"/>
    <w:rsid w:val="00A90D2F"/>
    <w:rsid w:val="00A926A0"/>
    <w:rsid w:val="00AB0247"/>
    <w:rsid w:val="00AB2100"/>
    <w:rsid w:val="00AB2EA2"/>
    <w:rsid w:val="00AB7E18"/>
    <w:rsid w:val="00AC0629"/>
    <w:rsid w:val="00AC4187"/>
    <w:rsid w:val="00AC4B5F"/>
    <w:rsid w:val="00AC6DAE"/>
    <w:rsid w:val="00AD2286"/>
    <w:rsid w:val="00AE037D"/>
    <w:rsid w:val="00AE489E"/>
    <w:rsid w:val="00AE6B90"/>
    <w:rsid w:val="00AE73BC"/>
    <w:rsid w:val="00AF0B03"/>
    <w:rsid w:val="00B04639"/>
    <w:rsid w:val="00B10FD8"/>
    <w:rsid w:val="00B14CEB"/>
    <w:rsid w:val="00B2132F"/>
    <w:rsid w:val="00B266F0"/>
    <w:rsid w:val="00B35263"/>
    <w:rsid w:val="00B504AD"/>
    <w:rsid w:val="00B51F25"/>
    <w:rsid w:val="00B56A63"/>
    <w:rsid w:val="00B737A6"/>
    <w:rsid w:val="00B801E0"/>
    <w:rsid w:val="00B80209"/>
    <w:rsid w:val="00B9091C"/>
    <w:rsid w:val="00B93026"/>
    <w:rsid w:val="00BA0811"/>
    <w:rsid w:val="00BA1E92"/>
    <w:rsid w:val="00BA2CE0"/>
    <w:rsid w:val="00BA59D5"/>
    <w:rsid w:val="00BB1B72"/>
    <w:rsid w:val="00BB66C6"/>
    <w:rsid w:val="00BB6C7A"/>
    <w:rsid w:val="00BC31E2"/>
    <w:rsid w:val="00BD2344"/>
    <w:rsid w:val="00BD72B1"/>
    <w:rsid w:val="00BE2221"/>
    <w:rsid w:val="00BF5D73"/>
    <w:rsid w:val="00BF71C1"/>
    <w:rsid w:val="00BF751F"/>
    <w:rsid w:val="00C130B4"/>
    <w:rsid w:val="00C13668"/>
    <w:rsid w:val="00C15F91"/>
    <w:rsid w:val="00C20028"/>
    <w:rsid w:val="00C24FD1"/>
    <w:rsid w:val="00C413AA"/>
    <w:rsid w:val="00C432AA"/>
    <w:rsid w:val="00C460EB"/>
    <w:rsid w:val="00C512B2"/>
    <w:rsid w:val="00C632FD"/>
    <w:rsid w:val="00C6344C"/>
    <w:rsid w:val="00C63DA2"/>
    <w:rsid w:val="00C75597"/>
    <w:rsid w:val="00C8264D"/>
    <w:rsid w:val="00C94F4E"/>
    <w:rsid w:val="00CA0BEB"/>
    <w:rsid w:val="00CA1F2A"/>
    <w:rsid w:val="00CA6233"/>
    <w:rsid w:val="00CB205F"/>
    <w:rsid w:val="00CB2EC4"/>
    <w:rsid w:val="00CC15AC"/>
    <w:rsid w:val="00CE1C22"/>
    <w:rsid w:val="00CE6D58"/>
    <w:rsid w:val="00CE7722"/>
    <w:rsid w:val="00CF02B2"/>
    <w:rsid w:val="00CF264A"/>
    <w:rsid w:val="00CF3EFE"/>
    <w:rsid w:val="00CF4F94"/>
    <w:rsid w:val="00D00949"/>
    <w:rsid w:val="00D16B03"/>
    <w:rsid w:val="00D1765C"/>
    <w:rsid w:val="00D21BFD"/>
    <w:rsid w:val="00D33B59"/>
    <w:rsid w:val="00D43507"/>
    <w:rsid w:val="00D5122C"/>
    <w:rsid w:val="00D5130A"/>
    <w:rsid w:val="00D55BE7"/>
    <w:rsid w:val="00D71676"/>
    <w:rsid w:val="00D84FD2"/>
    <w:rsid w:val="00DA29ED"/>
    <w:rsid w:val="00DA2D5A"/>
    <w:rsid w:val="00DA3FC7"/>
    <w:rsid w:val="00DC289C"/>
    <w:rsid w:val="00DC7BB2"/>
    <w:rsid w:val="00DF1B29"/>
    <w:rsid w:val="00DF242E"/>
    <w:rsid w:val="00E039BC"/>
    <w:rsid w:val="00E04E32"/>
    <w:rsid w:val="00E05069"/>
    <w:rsid w:val="00E10209"/>
    <w:rsid w:val="00E142CF"/>
    <w:rsid w:val="00E14E7C"/>
    <w:rsid w:val="00E2099B"/>
    <w:rsid w:val="00E24AAC"/>
    <w:rsid w:val="00E3003D"/>
    <w:rsid w:val="00E30BF2"/>
    <w:rsid w:val="00E329C9"/>
    <w:rsid w:val="00E34E00"/>
    <w:rsid w:val="00E3668C"/>
    <w:rsid w:val="00E41034"/>
    <w:rsid w:val="00E5301D"/>
    <w:rsid w:val="00E60A2D"/>
    <w:rsid w:val="00E70563"/>
    <w:rsid w:val="00E7110B"/>
    <w:rsid w:val="00E735C1"/>
    <w:rsid w:val="00E759B0"/>
    <w:rsid w:val="00E80D10"/>
    <w:rsid w:val="00E83315"/>
    <w:rsid w:val="00E902CA"/>
    <w:rsid w:val="00E96642"/>
    <w:rsid w:val="00EB7F48"/>
    <w:rsid w:val="00EC23A2"/>
    <w:rsid w:val="00EC48CF"/>
    <w:rsid w:val="00EC6B7C"/>
    <w:rsid w:val="00EC6C91"/>
    <w:rsid w:val="00ED28D2"/>
    <w:rsid w:val="00EE5D4A"/>
    <w:rsid w:val="00EE70DF"/>
    <w:rsid w:val="00EF3CCE"/>
    <w:rsid w:val="00EF51CF"/>
    <w:rsid w:val="00EF6252"/>
    <w:rsid w:val="00EF71BB"/>
    <w:rsid w:val="00F00047"/>
    <w:rsid w:val="00F00C1E"/>
    <w:rsid w:val="00F14A8D"/>
    <w:rsid w:val="00F1626D"/>
    <w:rsid w:val="00F22FC7"/>
    <w:rsid w:val="00F231C8"/>
    <w:rsid w:val="00F236CA"/>
    <w:rsid w:val="00F2610F"/>
    <w:rsid w:val="00F3671A"/>
    <w:rsid w:val="00F51404"/>
    <w:rsid w:val="00F56CB5"/>
    <w:rsid w:val="00F575F4"/>
    <w:rsid w:val="00F675D9"/>
    <w:rsid w:val="00F71661"/>
    <w:rsid w:val="00F77338"/>
    <w:rsid w:val="00F813CB"/>
    <w:rsid w:val="00F97CFC"/>
    <w:rsid w:val="00FA658E"/>
    <w:rsid w:val="00FB57B4"/>
    <w:rsid w:val="00FD1478"/>
    <w:rsid w:val="00FD5D2B"/>
    <w:rsid w:val="00FE61DC"/>
    <w:rsid w:val="00FF06B8"/>
    <w:rsid w:val="00FF0D80"/>
    <w:rsid w:val="00FF1FC4"/>
    <w:rsid w:val="00FF3C57"/>
    <w:rsid w:val="00FF5B17"/>
    <w:rsid w:val="00FF655A"/>
    <w:rsid w:val="00FF72E3"/>
    <w:rsid w:val="015D251A"/>
    <w:rsid w:val="01925C51"/>
    <w:rsid w:val="026C0357"/>
    <w:rsid w:val="02AE521B"/>
    <w:rsid w:val="02D90570"/>
    <w:rsid w:val="02E664F7"/>
    <w:rsid w:val="030D2573"/>
    <w:rsid w:val="03936B53"/>
    <w:rsid w:val="039A1E53"/>
    <w:rsid w:val="03D39C64"/>
    <w:rsid w:val="04366675"/>
    <w:rsid w:val="04417D9C"/>
    <w:rsid w:val="046900EF"/>
    <w:rsid w:val="047123CB"/>
    <w:rsid w:val="052B0019"/>
    <w:rsid w:val="057FF536"/>
    <w:rsid w:val="05AC786C"/>
    <w:rsid w:val="05CC7AA6"/>
    <w:rsid w:val="05EC6A3E"/>
    <w:rsid w:val="066F16A3"/>
    <w:rsid w:val="06D63A1E"/>
    <w:rsid w:val="077EC4E7"/>
    <w:rsid w:val="07A836BD"/>
    <w:rsid w:val="07EF36F6"/>
    <w:rsid w:val="084513D4"/>
    <w:rsid w:val="087329C3"/>
    <w:rsid w:val="08975E2B"/>
    <w:rsid w:val="089865C9"/>
    <w:rsid w:val="08A461A6"/>
    <w:rsid w:val="08BA73C9"/>
    <w:rsid w:val="08CA6893"/>
    <w:rsid w:val="08D532EF"/>
    <w:rsid w:val="09497237"/>
    <w:rsid w:val="09B6100D"/>
    <w:rsid w:val="09CC07E2"/>
    <w:rsid w:val="0A2C73F6"/>
    <w:rsid w:val="0A486D40"/>
    <w:rsid w:val="0A992930"/>
    <w:rsid w:val="0AA1540F"/>
    <w:rsid w:val="0ABC317A"/>
    <w:rsid w:val="0C0C7FB2"/>
    <w:rsid w:val="0C2F4D76"/>
    <w:rsid w:val="0C783EEA"/>
    <w:rsid w:val="0CE637CE"/>
    <w:rsid w:val="0D0E3DD4"/>
    <w:rsid w:val="0DBABEDE"/>
    <w:rsid w:val="0DD40EF1"/>
    <w:rsid w:val="0E3E7088"/>
    <w:rsid w:val="0E6FFE54"/>
    <w:rsid w:val="0E871E1C"/>
    <w:rsid w:val="0EB13FAD"/>
    <w:rsid w:val="0EF0348B"/>
    <w:rsid w:val="0F3F003A"/>
    <w:rsid w:val="0FE91E1C"/>
    <w:rsid w:val="10374E70"/>
    <w:rsid w:val="104F2A11"/>
    <w:rsid w:val="10BC26BF"/>
    <w:rsid w:val="11ED55D2"/>
    <w:rsid w:val="124B31CB"/>
    <w:rsid w:val="132C2EE2"/>
    <w:rsid w:val="14355600"/>
    <w:rsid w:val="151949DF"/>
    <w:rsid w:val="15595BC0"/>
    <w:rsid w:val="156A07C2"/>
    <w:rsid w:val="15C745A0"/>
    <w:rsid w:val="16026D75"/>
    <w:rsid w:val="165F342E"/>
    <w:rsid w:val="16923CD4"/>
    <w:rsid w:val="16B9C4B6"/>
    <w:rsid w:val="17276B89"/>
    <w:rsid w:val="176D242D"/>
    <w:rsid w:val="179D18B0"/>
    <w:rsid w:val="179F1F01"/>
    <w:rsid w:val="17AC643A"/>
    <w:rsid w:val="17C52BB4"/>
    <w:rsid w:val="17DDFF2E"/>
    <w:rsid w:val="17F78D0F"/>
    <w:rsid w:val="18007D05"/>
    <w:rsid w:val="18031B1C"/>
    <w:rsid w:val="18161EBB"/>
    <w:rsid w:val="18EB3B76"/>
    <w:rsid w:val="18F1478F"/>
    <w:rsid w:val="18FF93F0"/>
    <w:rsid w:val="195C122A"/>
    <w:rsid w:val="19F45945"/>
    <w:rsid w:val="19F7532C"/>
    <w:rsid w:val="1A291630"/>
    <w:rsid w:val="1A56654C"/>
    <w:rsid w:val="1A9F6E7E"/>
    <w:rsid w:val="1B1F4E81"/>
    <w:rsid w:val="1B33564A"/>
    <w:rsid w:val="1B679425"/>
    <w:rsid w:val="1B6E20C0"/>
    <w:rsid w:val="1BDD8603"/>
    <w:rsid w:val="1C3129DC"/>
    <w:rsid w:val="1C772198"/>
    <w:rsid w:val="1CBEC7D7"/>
    <w:rsid w:val="1D023A33"/>
    <w:rsid w:val="1D3676D4"/>
    <w:rsid w:val="1D5F56C8"/>
    <w:rsid w:val="1DBD3EC5"/>
    <w:rsid w:val="1DD64427"/>
    <w:rsid w:val="1DFE69E7"/>
    <w:rsid w:val="1E6A449A"/>
    <w:rsid w:val="1E6A5FCA"/>
    <w:rsid w:val="1EBFF86D"/>
    <w:rsid w:val="1EFB2287"/>
    <w:rsid w:val="1F561F22"/>
    <w:rsid w:val="1F5FD0CD"/>
    <w:rsid w:val="1F6F5DBC"/>
    <w:rsid w:val="1F966B02"/>
    <w:rsid w:val="1FBFC1C0"/>
    <w:rsid w:val="1FCFCEA5"/>
    <w:rsid w:val="1FE85476"/>
    <w:rsid w:val="1FFBA583"/>
    <w:rsid w:val="1FFC740E"/>
    <w:rsid w:val="201132D1"/>
    <w:rsid w:val="203665CD"/>
    <w:rsid w:val="20B87E0C"/>
    <w:rsid w:val="21466306"/>
    <w:rsid w:val="214F7289"/>
    <w:rsid w:val="21B52949"/>
    <w:rsid w:val="21EF7DD3"/>
    <w:rsid w:val="22802E6E"/>
    <w:rsid w:val="229A5358"/>
    <w:rsid w:val="22CF3DBD"/>
    <w:rsid w:val="22E0713E"/>
    <w:rsid w:val="22FA0E2A"/>
    <w:rsid w:val="23EE4296"/>
    <w:rsid w:val="241C7BF2"/>
    <w:rsid w:val="24FA7FF8"/>
    <w:rsid w:val="2541134E"/>
    <w:rsid w:val="25910904"/>
    <w:rsid w:val="25B21003"/>
    <w:rsid w:val="25F69CEF"/>
    <w:rsid w:val="26054C81"/>
    <w:rsid w:val="26D83194"/>
    <w:rsid w:val="26DF5A0D"/>
    <w:rsid w:val="26F95285"/>
    <w:rsid w:val="27542716"/>
    <w:rsid w:val="279E4FB9"/>
    <w:rsid w:val="27D02B7A"/>
    <w:rsid w:val="27DD2E42"/>
    <w:rsid w:val="27DD96E6"/>
    <w:rsid w:val="27DEFCAE"/>
    <w:rsid w:val="27F34F9C"/>
    <w:rsid w:val="291E34C1"/>
    <w:rsid w:val="298A331A"/>
    <w:rsid w:val="299334FC"/>
    <w:rsid w:val="29EC3F00"/>
    <w:rsid w:val="29FA5C45"/>
    <w:rsid w:val="29FC36FB"/>
    <w:rsid w:val="29FE5700"/>
    <w:rsid w:val="29FEA3A1"/>
    <w:rsid w:val="2AD0696D"/>
    <w:rsid w:val="2AD67A4D"/>
    <w:rsid w:val="2B5D3B22"/>
    <w:rsid w:val="2B5E5409"/>
    <w:rsid w:val="2B9C7B0D"/>
    <w:rsid w:val="2BBF0EAC"/>
    <w:rsid w:val="2BBF7B5F"/>
    <w:rsid w:val="2BEBFAD9"/>
    <w:rsid w:val="2C4626FE"/>
    <w:rsid w:val="2C7244C8"/>
    <w:rsid w:val="2CC05B66"/>
    <w:rsid w:val="2D243700"/>
    <w:rsid w:val="2D410FDE"/>
    <w:rsid w:val="2DEF5007"/>
    <w:rsid w:val="2E2A3611"/>
    <w:rsid w:val="2E6D3865"/>
    <w:rsid w:val="2E7F9737"/>
    <w:rsid w:val="2E902C15"/>
    <w:rsid w:val="2EBE020A"/>
    <w:rsid w:val="2F3B9769"/>
    <w:rsid w:val="2FB9E355"/>
    <w:rsid w:val="2FD70052"/>
    <w:rsid w:val="2FE05227"/>
    <w:rsid w:val="2FEFBDBA"/>
    <w:rsid w:val="2FF719A1"/>
    <w:rsid w:val="2FFFA37F"/>
    <w:rsid w:val="2FFFAD7C"/>
    <w:rsid w:val="307C375D"/>
    <w:rsid w:val="30A45947"/>
    <w:rsid w:val="30AE2081"/>
    <w:rsid w:val="30C37C69"/>
    <w:rsid w:val="31E92F7B"/>
    <w:rsid w:val="31FB5196"/>
    <w:rsid w:val="325D1792"/>
    <w:rsid w:val="3273654C"/>
    <w:rsid w:val="32EE3D29"/>
    <w:rsid w:val="32FF7DDB"/>
    <w:rsid w:val="335C7805"/>
    <w:rsid w:val="33C45EB1"/>
    <w:rsid w:val="33DA584D"/>
    <w:rsid w:val="33F58404"/>
    <w:rsid w:val="34093893"/>
    <w:rsid w:val="34323322"/>
    <w:rsid w:val="34630210"/>
    <w:rsid w:val="34DC6428"/>
    <w:rsid w:val="35712DAA"/>
    <w:rsid w:val="35F527CB"/>
    <w:rsid w:val="364D57E9"/>
    <w:rsid w:val="369229DD"/>
    <w:rsid w:val="36BD0205"/>
    <w:rsid w:val="36F330B5"/>
    <w:rsid w:val="36FF167E"/>
    <w:rsid w:val="376D3987"/>
    <w:rsid w:val="376E5C61"/>
    <w:rsid w:val="37BF2573"/>
    <w:rsid w:val="37CB32FD"/>
    <w:rsid w:val="37ED079A"/>
    <w:rsid w:val="37FBBA4E"/>
    <w:rsid w:val="37FE4445"/>
    <w:rsid w:val="38073B3F"/>
    <w:rsid w:val="38EA1814"/>
    <w:rsid w:val="399A2A13"/>
    <w:rsid w:val="39DF5DDA"/>
    <w:rsid w:val="39EB26A4"/>
    <w:rsid w:val="39EF5FF2"/>
    <w:rsid w:val="3A720D49"/>
    <w:rsid w:val="3A92283D"/>
    <w:rsid w:val="3AD06A3D"/>
    <w:rsid w:val="3AEECEE9"/>
    <w:rsid w:val="3AF172D1"/>
    <w:rsid w:val="3AF20E57"/>
    <w:rsid w:val="3AFBEFBD"/>
    <w:rsid w:val="3AFF2E26"/>
    <w:rsid w:val="3B291835"/>
    <w:rsid w:val="3B6E6C47"/>
    <w:rsid w:val="3B72787E"/>
    <w:rsid w:val="3B7AB5BD"/>
    <w:rsid w:val="3BA10BBA"/>
    <w:rsid w:val="3BA54D61"/>
    <w:rsid w:val="3BBEA083"/>
    <w:rsid w:val="3BE778EC"/>
    <w:rsid w:val="3BFC4D37"/>
    <w:rsid w:val="3C943B5D"/>
    <w:rsid w:val="3CA70FC0"/>
    <w:rsid w:val="3CB34946"/>
    <w:rsid w:val="3CCC628C"/>
    <w:rsid w:val="3CFD1165"/>
    <w:rsid w:val="3CFF9550"/>
    <w:rsid w:val="3D5EE1D1"/>
    <w:rsid w:val="3D6D3013"/>
    <w:rsid w:val="3D6F7B3C"/>
    <w:rsid w:val="3D7B7972"/>
    <w:rsid w:val="3D9F77FD"/>
    <w:rsid w:val="3DD0408A"/>
    <w:rsid w:val="3DDB71B3"/>
    <w:rsid w:val="3DE7B567"/>
    <w:rsid w:val="3DECE55D"/>
    <w:rsid w:val="3DEE87D0"/>
    <w:rsid w:val="3DFE3DBB"/>
    <w:rsid w:val="3E0D0A16"/>
    <w:rsid w:val="3E56BB88"/>
    <w:rsid w:val="3E6FE060"/>
    <w:rsid w:val="3E754B49"/>
    <w:rsid w:val="3E9D191D"/>
    <w:rsid w:val="3EAFC7A4"/>
    <w:rsid w:val="3EBFA10C"/>
    <w:rsid w:val="3F3B537A"/>
    <w:rsid w:val="3F442F00"/>
    <w:rsid w:val="3F7D23A5"/>
    <w:rsid w:val="3F8AD132"/>
    <w:rsid w:val="3F938426"/>
    <w:rsid w:val="3F9DD5F8"/>
    <w:rsid w:val="3F9F727C"/>
    <w:rsid w:val="3FAA5DD6"/>
    <w:rsid w:val="3FDEAA18"/>
    <w:rsid w:val="3FF679A2"/>
    <w:rsid w:val="3FF77400"/>
    <w:rsid w:val="3FFB22FA"/>
    <w:rsid w:val="3FFB9CC2"/>
    <w:rsid w:val="3FFF8146"/>
    <w:rsid w:val="3FFFFC89"/>
    <w:rsid w:val="40915010"/>
    <w:rsid w:val="41766D49"/>
    <w:rsid w:val="417A794E"/>
    <w:rsid w:val="419C1533"/>
    <w:rsid w:val="41B46F04"/>
    <w:rsid w:val="41C64483"/>
    <w:rsid w:val="421E153C"/>
    <w:rsid w:val="4279A905"/>
    <w:rsid w:val="43FC6E97"/>
    <w:rsid w:val="43FE469D"/>
    <w:rsid w:val="44F23896"/>
    <w:rsid w:val="44F707C8"/>
    <w:rsid w:val="44FB62DB"/>
    <w:rsid w:val="451815AF"/>
    <w:rsid w:val="454045C7"/>
    <w:rsid w:val="45472595"/>
    <w:rsid w:val="45F9C05B"/>
    <w:rsid w:val="46471CC3"/>
    <w:rsid w:val="46FBA241"/>
    <w:rsid w:val="470D7E5F"/>
    <w:rsid w:val="471979E1"/>
    <w:rsid w:val="47230A51"/>
    <w:rsid w:val="472D5E64"/>
    <w:rsid w:val="47BE25C8"/>
    <w:rsid w:val="47D5053C"/>
    <w:rsid w:val="47F46BE3"/>
    <w:rsid w:val="47FF0AD8"/>
    <w:rsid w:val="4808520A"/>
    <w:rsid w:val="489A2CEC"/>
    <w:rsid w:val="48C8591E"/>
    <w:rsid w:val="491D5392"/>
    <w:rsid w:val="499F4070"/>
    <w:rsid w:val="49FA7A9B"/>
    <w:rsid w:val="4A663005"/>
    <w:rsid w:val="4A7D6D3C"/>
    <w:rsid w:val="4A9C1866"/>
    <w:rsid w:val="4B5DE0EE"/>
    <w:rsid w:val="4B7F8745"/>
    <w:rsid w:val="4BC76010"/>
    <w:rsid w:val="4C5BEAED"/>
    <w:rsid w:val="4CAF6AB0"/>
    <w:rsid w:val="4CEEE9BB"/>
    <w:rsid w:val="4D59161A"/>
    <w:rsid w:val="4DA01334"/>
    <w:rsid w:val="4DBC3344"/>
    <w:rsid w:val="4DC345D6"/>
    <w:rsid w:val="4DC53649"/>
    <w:rsid w:val="4DE4B2E2"/>
    <w:rsid w:val="4DE9DC42"/>
    <w:rsid w:val="4DFC5092"/>
    <w:rsid w:val="4E5652AD"/>
    <w:rsid w:val="4E9220DA"/>
    <w:rsid w:val="4EBE3E93"/>
    <w:rsid w:val="4EBFA43A"/>
    <w:rsid w:val="4EFE4997"/>
    <w:rsid w:val="4F0832CB"/>
    <w:rsid w:val="4F2602FC"/>
    <w:rsid w:val="4F2858CD"/>
    <w:rsid w:val="4F9D8154"/>
    <w:rsid w:val="4FBF66C6"/>
    <w:rsid w:val="4FC348CB"/>
    <w:rsid w:val="4FCE240E"/>
    <w:rsid w:val="4FCF58CC"/>
    <w:rsid w:val="4FDEDFC2"/>
    <w:rsid w:val="4FEEFE18"/>
    <w:rsid w:val="4FF56915"/>
    <w:rsid w:val="4FFF1CE7"/>
    <w:rsid w:val="50AEF091"/>
    <w:rsid w:val="50FF3032"/>
    <w:rsid w:val="513D80A5"/>
    <w:rsid w:val="515627B8"/>
    <w:rsid w:val="52174072"/>
    <w:rsid w:val="523A0A30"/>
    <w:rsid w:val="533E7E88"/>
    <w:rsid w:val="534C78B7"/>
    <w:rsid w:val="53E932F0"/>
    <w:rsid w:val="53EFF7DD"/>
    <w:rsid w:val="53F21668"/>
    <w:rsid w:val="54492049"/>
    <w:rsid w:val="545F3703"/>
    <w:rsid w:val="5485381D"/>
    <w:rsid w:val="54B7231E"/>
    <w:rsid w:val="54D04283"/>
    <w:rsid w:val="54EF0F8F"/>
    <w:rsid w:val="54F807A7"/>
    <w:rsid w:val="55201E3B"/>
    <w:rsid w:val="553F3CE2"/>
    <w:rsid w:val="557C2BD2"/>
    <w:rsid w:val="55C27C4C"/>
    <w:rsid w:val="55CF4CC5"/>
    <w:rsid w:val="55DB3EB3"/>
    <w:rsid w:val="55E91287"/>
    <w:rsid w:val="55F06ECC"/>
    <w:rsid w:val="56912F1B"/>
    <w:rsid w:val="56BA3156"/>
    <w:rsid w:val="56BF6BFC"/>
    <w:rsid w:val="56DD38F0"/>
    <w:rsid w:val="57034731"/>
    <w:rsid w:val="571F1D22"/>
    <w:rsid w:val="572F661B"/>
    <w:rsid w:val="5743A479"/>
    <w:rsid w:val="574541B0"/>
    <w:rsid w:val="574E15BA"/>
    <w:rsid w:val="575FFEF2"/>
    <w:rsid w:val="577FC7DD"/>
    <w:rsid w:val="578168EF"/>
    <w:rsid w:val="57BA68BC"/>
    <w:rsid w:val="57BD8BC5"/>
    <w:rsid w:val="57DC6A73"/>
    <w:rsid w:val="57E5737D"/>
    <w:rsid w:val="57EF5AAA"/>
    <w:rsid w:val="57FA3F62"/>
    <w:rsid w:val="581667C3"/>
    <w:rsid w:val="5873035D"/>
    <w:rsid w:val="588D6B25"/>
    <w:rsid w:val="58BF5264"/>
    <w:rsid w:val="58F7B098"/>
    <w:rsid w:val="591672B0"/>
    <w:rsid w:val="591D41CF"/>
    <w:rsid w:val="59C60C48"/>
    <w:rsid w:val="5A233B88"/>
    <w:rsid w:val="5A4F54E6"/>
    <w:rsid w:val="5AC410C4"/>
    <w:rsid w:val="5AD87D9F"/>
    <w:rsid w:val="5B0724DE"/>
    <w:rsid w:val="5B1D2E36"/>
    <w:rsid w:val="5B296041"/>
    <w:rsid w:val="5B7E3A97"/>
    <w:rsid w:val="5BAE742A"/>
    <w:rsid w:val="5BCA2397"/>
    <w:rsid w:val="5BEFCC81"/>
    <w:rsid w:val="5CC2116C"/>
    <w:rsid w:val="5D5F8648"/>
    <w:rsid w:val="5DB2325A"/>
    <w:rsid w:val="5DBE5CD4"/>
    <w:rsid w:val="5DDB41FE"/>
    <w:rsid w:val="5DF7426A"/>
    <w:rsid w:val="5DFD2082"/>
    <w:rsid w:val="5E1E5E85"/>
    <w:rsid w:val="5E1E9A58"/>
    <w:rsid w:val="5E37683D"/>
    <w:rsid w:val="5E7B0770"/>
    <w:rsid w:val="5EA57F98"/>
    <w:rsid w:val="5EABB5EC"/>
    <w:rsid w:val="5EBF21DE"/>
    <w:rsid w:val="5ECA87A2"/>
    <w:rsid w:val="5ED34905"/>
    <w:rsid w:val="5ED760E8"/>
    <w:rsid w:val="5EE852C6"/>
    <w:rsid w:val="5EEDDD98"/>
    <w:rsid w:val="5EEECFC5"/>
    <w:rsid w:val="5EF521AC"/>
    <w:rsid w:val="5EFE1AF9"/>
    <w:rsid w:val="5F1124FE"/>
    <w:rsid w:val="5F38BBB4"/>
    <w:rsid w:val="5F7FB48B"/>
    <w:rsid w:val="5FD51521"/>
    <w:rsid w:val="5FDF9A39"/>
    <w:rsid w:val="5FDFE28C"/>
    <w:rsid w:val="5FE36838"/>
    <w:rsid w:val="5FE6941C"/>
    <w:rsid w:val="5FEF0425"/>
    <w:rsid w:val="5FEF516C"/>
    <w:rsid w:val="5FF394D6"/>
    <w:rsid w:val="5FF3D5DB"/>
    <w:rsid w:val="5FF748CD"/>
    <w:rsid w:val="5FF7523F"/>
    <w:rsid w:val="5FF9AEB2"/>
    <w:rsid w:val="5FFED540"/>
    <w:rsid w:val="5FFFA2D1"/>
    <w:rsid w:val="5FFFD65D"/>
    <w:rsid w:val="5FFFE28B"/>
    <w:rsid w:val="5FFFF52D"/>
    <w:rsid w:val="60202EDF"/>
    <w:rsid w:val="610945BC"/>
    <w:rsid w:val="6133325E"/>
    <w:rsid w:val="61D90A6C"/>
    <w:rsid w:val="61E346E6"/>
    <w:rsid w:val="61E709C0"/>
    <w:rsid w:val="62574C2C"/>
    <w:rsid w:val="62AD0024"/>
    <w:rsid w:val="62EC7072"/>
    <w:rsid w:val="633AAAE3"/>
    <w:rsid w:val="633B6F67"/>
    <w:rsid w:val="637EEDB7"/>
    <w:rsid w:val="63846640"/>
    <w:rsid w:val="643F170B"/>
    <w:rsid w:val="645D4C16"/>
    <w:rsid w:val="6476598F"/>
    <w:rsid w:val="65005DC7"/>
    <w:rsid w:val="654B033F"/>
    <w:rsid w:val="6578757F"/>
    <w:rsid w:val="662D49DB"/>
    <w:rsid w:val="66EB63BC"/>
    <w:rsid w:val="66F16D19"/>
    <w:rsid w:val="672E4638"/>
    <w:rsid w:val="674F0EEF"/>
    <w:rsid w:val="675719FD"/>
    <w:rsid w:val="676FA538"/>
    <w:rsid w:val="67BF11AB"/>
    <w:rsid w:val="67CD4263"/>
    <w:rsid w:val="67D27855"/>
    <w:rsid w:val="67DDA155"/>
    <w:rsid w:val="67E70ABC"/>
    <w:rsid w:val="67EBBF3F"/>
    <w:rsid w:val="67ED89FD"/>
    <w:rsid w:val="67F0747E"/>
    <w:rsid w:val="67FBCD10"/>
    <w:rsid w:val="67FBF82F"/>
    <w:rsid w:val="67FD89BB"/>
    <w:rsid w:val="67FF2BC3"/>
    <w:rsid w:val="67FF7B70"/>
    <w:rsid w:val="68FFF2CC"/>
    <w:rsid w:val="692573A9"/>
    <w:rsid w:val="69280B25"/>
    <w:rsid w:val="696C0C1C"/>
    <w:rsid w:val="699D66F7"/>
    <w:rsid w:val="69EE6BD9"/>
    <w:rsid w:val="6A022177"/>
    <w:rsid w:val="6A260EBF"/>
    <w:rsid w:val="6A537FE5"/>
    <w:rsid w:val="6A9C7E77"/>
    <w:rsid w:val="6ADE0536"/>
    <w:rsid w:val="6AF456D4"/>
    <w:rsid w:val="6AFF3F5D"/>
    <w:rsid w:val="6B46085A"/>
    <w:rsid w:val="6B712CD2"/>
    <w:rsid w:val="6B9B01FF"/>
    <w:rsid w:val="6B9F26C0"/>
    <w:rsid w:val="6BDB173B"/>
    <w:rsid w:val="6BDEDCBA"/>
    <w:rsid w:val="6BEF1A06"/>
    <w:rsid w:val="6BFA5341"/>
    <w:rsid w:val="6CD40253"/>
    <w:rsid w:val="6D676E14"/>
    <w:rsid w:val="6D7B6C1C"/>
    <w:rsid w:val="6DB70891"/>
    <w:rsid w:val="6DD840ED"/>
    <w:rsid w:val="6DEFE0D1"/>
    <w:rsid w:val="6DF36DB9"/>
    <w:rsid w:val="6DF53047"/>
    <w:rsid w:val="6DFE8CDE"/>
    <w:rsid w:val="6DFF6AF8"/>
    <w:rsid w:val="6E097A48"/>
    <w:rsid w:val="6E255B17"/>
    <w:rsid w:val="6E3F69F7"/>
    <w:rsid w:val="6E765265"/>
    <w:rsid w:val="6E82467D"/>
    <w:rsid w:val="6E925506"/>
    <w:rsid w:val="6EAF598B"/>
    <w:rsid w:val="6EBD5154"/>
    <w:rsid w:val="6EBDDAAA"/>
    <w:rsid w:val="6EDFCE69"/>
    <w:rsid w:val="6EE53DBB"/>
    <w:rsid w:val="6EF1C35A"/>
    <w:rsid w:val="6F1FB494"/>
    <w:rsid w:val="6F34A6A8"/>
    <w:rsid w:val="6F372021"/>
    <w:rsid w:val="6F3F002D"/>
    <w:rsid w:val="6F57A10D"/>
    <w:rsid w:val="6F5F473A"/>
    <w:rsid w:val="6F638363"/>
    <w:rsid w:val="6F6AD26B"/>
    <w:rsid w:val="6F6F8E27"/>
    <w:rsid w:val="6F7F59F8"/>
    <w:rsid w:val="6F7F7758"/>
    <w:rsid w:val="6F7FF129"/>
    <w:rsid w:val="6FA7720F"/>
    <w:rsid w:val="6FB3C67B"/>
    <w:rsid w:val="6FBEAB0E"/>
    <w:rsid w:val="6FBF0901"/>
    <w:rsid w:val="6FCF93A4"/>
    <w:rsid w:val="6FCFB04B"/>
    <w:rsid w:val="6FCFBEE2"/>
    <w:rsid w:val="6FDA2758"/>
    <w:rsid w:val="6FE4B407"/>
    <w:rsid w:val="6FE773E8"/>
    <w:rsid w:val="6FED7B72"/>
    <w:rsid w:val="6FEE857B"/>
    <w:rsid w:val="6FF6088E"/>
    <w:rsid w:val="6FF72921"/>
    <w:rsid w:val="6FF76EAC"/>
    <w:rsid w:val="6FFBB68F"/>
    <w:rsid w:val="6FFDA901"/>
    <w:rsid w:val="6FFF0AA6"/>
    <w:rsid w:val="6FFF2F7C"/>
    <w:rsid w:val="6FFF88C3"/>
    <w:rsid w:val="6FFFA6D4"/>
    <w:rsid w:val="702E3822"/>
    <w:rsid w:val="702F861D"/>
    <w:rsid w:val="7049408C"/>
    <w:rsid w:val="70FC095A"/>
    <w:rsid w:val="70FFE429"/>
    <w:rsid w:val="71593474"/>
    <w:rsid w:val="717E12B5"/>
    <w:rsid w:val="71F735EC"/>
    <w:rsid w:val="71FECF89"/>
    <w:rsid w:val="71FFE337"/>
    <w:rsid w:val="72366155"/>
    <w:rsid w:val="72412C7B"/>
    <w:rsid w:val="72551B5B"/>
    <w:rsid w:val="727B7CC2"/>
    <w:rsid w:val="72F2D6F1"/>
    <w:rsid w:val="72FDE674"/>
    <w:rsid w:val="73765F9B"/>
    <w:rsid w:val="7379AAC4"/>
    <w:rsid w:val="737DAC63"/>
    <w:rsid w:val="737FFFEE"/>
    <w:rsid w:val="73BA0AA7"/>
    <w:rsid w:val="73BDDC32"/>
    <w:rsid w:val="73D16CCF"/>
    <w:rsid w:val="745FD83C"/>
    <w:rsid w:val="7497338B"/>
    <w:rsid w:val="74C95A2F"/>
    <w:rsid w:val="74CF21FD"/>
    <w:rsid w:val="74EE07D1"/>
    <w:rsid w:val="750247C4"/>
    <w:rsid w:val="753B81A3"/>
    <w:rsid w:val="757BAF53"/>
    <w:rsid w:val="757F23D5"/>
    <w:rsid w:val="758312D6"/>
    <w:rsid w:val="759F2F85"/>
    <w:rsid w:val="75BF6672"/>
    <w:rsid w:val="75D95B8D"/>
    <w:rsid w:val="75DFCE8F"/>
    <w:rsid w:val="75EAF069"/>
    <w:rsid w:val="75FE5D4D"/>
    <w:rsid w:val="765BC5AB"/>
    <w:rsid w:val="765D961B"/>
    <w:rsid w:val="76AEC085"/>
    <w:rsid w:val="76AFE446"/>
    <w:rsid w:val="76BD5A3D"/>
    <w:rsid w:val="76E77554"/>
    <w:rsid w:val="76FB2137"/>
    <w:rsid w:val="76FE71FF"/>
    <w:rsid w:val="773F4C18"/>
    <w:rsid w:val="779F4CEB"/>
    <w:rsid w:val="77B753B9"/>
    <w:rsid w:val="77BBDA2A"/>
    <w:rsid w:val="77BD15C9"/>
    <w:rsid w:val="77BE58B8"/>
    <w:rsid w:val="77BF403C"/>
    <w:rsid w:val="77DBADF4"/>
    <w:rsid w:val="77E7DDB2"/>
    <w:rsid w:val="77EB40E6"/>
    <w:rsid w:val="77EBD6CB"/>
    <w:rsid w:val="77F06BDD"/>
    <w:rsid w:val="77F565FD"/>
    <w:rsid w:val="77F709FD"/>
    <w:rsid w:val="77FB14F9"/>
    <w:rsid w:val="77FBA986"/>
    <w:rsid w:val="77FD0B07"/>
    <w:rsid w:val="77FE4C71"/>
    <w:rsid w:val="77FF295D"/>
    <w:rsid w:val="77FF359D"/>
    <w:rsid w:val="77FFE75B"/>
    <w:rsid w:val="78677CC9"/>
    <w:rsid w:val="787B4256"/>
    <w:rsid w:val="78AF0F9C"/>
    <w:rsid w:val="78E362A4"/>
    <w:rsid w:val="78EFA0D8"/>
    <w:rsid w:val="78F035FC"/>
    <w:rsid w:val="78F78851"/>
    <w:rsid w:val="7902282D"/>
    <w:rsid w:val="79392C8E"/>
    <w:rsid w:val="797458B8"/>
    <w:rsid w:val="79B97907"/>
    <w:rsid w:val="79BFC6A5"/>
    <w:rsid w:val="79D707C1"/>
    <w:rsid w:val="79ED4573"/>
    <w:rsid w:val="79F25902"/>
    <w:rsid w:val="79FDA54B"/>
    <w:rsid w:val="79FFAB73"/>
    <w:rsid w:val="7A69A810"/>
    <w:rsid w:val="7A756DF9"/>
    <w:rsid w:val="7ABB63C9"/>
    <w:rsid w:val="7AC819A4"/>
    <w:rsid w:val="7ACDE361"/>
    <w:rsid w:val="7ADA5F30"/>
    <w:rsid w:val="7AE0133A"/>
    <w:rsid w:val="7AFDCC20"/>
    <w:rsid w:val="7B3FC86B"/>
    <w:rsid w:val="7B774FF3"/>
    <w:rsid w:val="7B7F6047"/>
    <w:rsid w:val="7B9045D2"/>
    <w:rsid w:val="7BB57C13"/>
    <w:rsid w:val="7BB72E85"/>
    <w:rsid w:val="7BD36D3B"/>
    <w:rsid w:val="7BEA810B"/>
    <w:rsid w:val="7BEAD374"/>
    <w:rsid w:val="7BECF88E"/>
    <w:rsid w:val="7BEE64FC"/>
    <w:rsid w:val="7BFB1CD9"/>
    <w:rsid w:val="7BFB8586"/>
    <w:rsid w:val="7BFC81BD"/>
    <w:rsid w:val="7BFD79E3"/>
    <w:rsid w:val="7BFD7CEC"/>
    <w:rsid w:val="7BFE95FB"/>
    <w:rsid w:val="7BFF86BE"/>
    <w:rsid w:val="7C942369"/>
    <w:rsid w:val="7CD7E50B"/>
    <w:rsid w:val="7CDBE5EB"/>
    <w:rsid w:val="7CEDEDA4"/>
    <w:rsid w:val="7CEEAD9A"/>
    <w:rsid w:val="7CFB9523"/>
    <w:rsid w:val="7CFEE12B"/>
    <w:rsid w:val="7CFF3FCF"/>
    <w:rsid w:val="7D35971B"/>
    <w:rsid w:val="7D3BCA76"/>
    <w:rsid w:val="7D4FB06D"/>
    <w:rsid w:val="7D9D7B4C"/>
    <w:rsid w:val="7DBF9D72"/>
    <w:rsid w:val="7DDE8FFD"/>
    <w:rsid w:val="7DDF6424"/>
    <w:rsid w:val="7DE54ADB"/>
    <w:rsid w:val="7DE78947"/>
    <w:rsid w:val="7DE82BE1"/>
    <w:rsid w:val="7DEB49EF"/>
    <w:rsid w:val="7DEF2F72"/>
    <w:rsid w:val="7DEFFC67"/>
    <w:rsid w:val="7DFE60EE"/>
    <w:rsid w:val="7DFEFFBF"/>
    <w:rsid w:val="7DFF2CB6"/>
    <w:rsid w:val="7DFF38D2"/>
    <w:rsid w:val="7E75060F"/>
    <w:rsid w:val="7E776400"/>
    <w:rsid w:val="7E7D32F5"/>
    <w:rsid w:val="7E7DEDD7"/>
    <w:rsid w:val="7E7FEE76"/>
    <w:rsid w:val="7EBD614A"/>
    <w:rsid w:val="7EBF27D1"/>
    <w:rsid w:val="7EBF5EEE"/>
    <w:rsid w:val="7EBF9313"/>
    <w:rsid w:val="7ECD18FB"/>
    <w:rsid w:val="7ED57F47"/>
    <w:rsid w:val="7ED7DA4E"/>
    <w:rsid w:val="7EDF2B72"/>
    <w:rsid w:val="7EDF6535"/>
    <w:rsid w:val="7EED8293"/>
    <w:rsid w:val="7EF60F18"/>
    <w:rsid w:val="7EF6DBEB"/>
    <w:rsid w:val="7EF7C208"/>
    <w:rsid w:val="7EF7D3F5"/>
    <w:rsid w:val="7EF90195"/>
    <w:rsid w:val="7EF9D898"/>
    <w:rsid w:val="7EFC3C64"/>
    <w:rsid w:val="7EFCCE94"/>
    <w:rsid w:val="7EFF4B75"/>
    <w:rsid w:val="7EFF64F2"/>
    <w:rsid w:val="7F0CDAF2"/>
    <w:rsid w:val="7F137269"/>
    <w:rsid w:val="7F3735A7"/>
    <w:rsid w:val="7F3BB9AB"/>
    <w:rsid w:val="7F3FF79D"/>
    <w:rsid w:val="7F4338A6"/>
    <w:rsid w:val="7F4FAA22"/>
    <w:rsid w:val="7F59B5AD"/>
    <w:rsid w:val="7F5D9F05"/>
    <w:rsid w:val="7F6266C0"/>
    <w:rsid w:val="7F63A67E"/>
    <w:rsid w:val="7F6EC1F0"/>
    <w:rsid w:val="7F6FDFFA"/>
    <w:rsid w:val="7F762B52"/>
    <w:rsid w:val="7F77C852"/>
    <w:rsid w:val="7F7C53E3"/>
    <w:rsid w:val="7F7D9010"/>
    <w:rsid w:val="7F7EB1F4"/>
    <w:rsid w:val="7F7F0B0D"/>
    <w:rsid w:val="7F7F40D0"/>
    <w:rsid w:val="7F7F8C32"/>
    <w:rsid w:val="7FAB4E2B"/>
    <w:rsid w:val="7FAF0CF0"/>
    <w:rsid w:val="7FAFBCE7"/>
    <w:rsid w:val="7FB717AF"/>
    <w:rsid w:val="7FB956D7"/>
    <w:rsid w:val="7FB9E584"/>
    <w:rsid w:val="7FBAAD12"/>
    <w:rsid w:val="7FBF4130"/>
    <w:rsid w:val="7FBF6718"/>
    <w:rsid w:val="7FBF6F16"/>
    <w:rsid w:val="7FCA6C89"/>
    <w:rsid w:val="7FD1E11D"/>
    <w:rsid w:val="7FDB01FA"/>
    <w:rsid w:val="7FDD5FEC"/>
    <w:rsid w:val="7FDE1073"/>
    <w:rsid w:val="7FDE811D"/>
    <w:rsid w:val="7FDF47A4"/>
    <w:rsid w:val="7FE22EA6"/>
    <w:rsid w:val="7FE75696"/>
    <w:rsid w:val="7FEBD485"/>
    <w:rsid w:val="7FEC5575"/>
    <w:rsid w:val="7FECACAA"/>
    <w:rsid w:val="7FEE151F"/>
    <w:rsid w:val="7FEEABE0"/>
    <w:rsid w:val="7FEF73E4"/>
    <w:rsid w:val="7FEFFEC8"/>
    <w:rsid w:val="7FF204DD"/>
    <w:rsid w:val="7FF6795D"/>
    <w:rsid w:val="7FF6C635"/>
    <w:rsid w:val="7FF71017"/>
    <w:rsid w:val="7FF7F4F1"/>
    <w:rsid w:val="7FF94923"/>
    <w:rsid w:val="7FF951F9"/>
    <w:rsid w:val="7FFA76CF"/>
    <w:rsid w:val="7FFA8FF6"/>
    <w:rsid w:val="7FFB4CDD"/>
    <w:rsid w:val="7FFB9848"/>
    <w:rsid w:val="7FFD59BB"/>
    <w:rsid w:val="7FFD7092"/>
    <w:rsid w:val="7FFE0E1B"/>
    <w:rsid w:val="7FFE2634"/>
    <w:rsid w:val="7FFE33FB"/>
    <w:rsid w:val="7FFE3AF1"/>
    <w:rsid w:val="7FFE622B"/>
    <w:rsid w:val="7FFF27CC"/>
    <w:rsid w:val="7FFF3550"/>
    <w:rsid w:val="7FFF3E2F"/>
    <w:rsid w:val="7FFF5A74"/>
    <w:rsid w:val="7FFF83F4"/>
    <w:rsid w:val="7FFFBBF7"/>
    <w:rsid w:val="7FFFF664"/>
    <w:rsid w:val="87DFAA73"/>
    <w:rsid w:val="8B7F01E2"/>
    <w:rsid w:val="8BBF80DE"/>
    <w:rsid w:val="8DF34049"/>
    <w:rsid w:val="8E4FDA55"/>
    <w:rsid w:val="8F0FB442"/>
    <w:rsid w:val="8F977D30"/>
    <w:rsid w:val="8FBE717B"/>
    <w:rsid w:val="9377C8E5"/>
    <w:rsid w:val="971F13CB"/>
    <w:rsid w:val="97DA04FA"/>
    <w:rsid w:val="99EF5BA3"/>
    <w:rsid w:val="9DD729D4"/>
    <w:rsid w:val="9DE58770"/>
    <w:rsid w:val="9DEB432C"/>
    <w:rsid w:val="9DEBC28D"/>
    <w:rsid w:val="9DEFB9DD"/>
    <w:rsid w:val="9E3F53EE"/>
    <w:rsid w:val="9E7D87E3"/>
    <w:rsid w:val="9EEB7C42"/>
    <w:rsid w:val="9EFB0EA9"/>
    <w:rsid w:val="9F2EB1E8"/>
    <w:rsid w:val="9F56B9B5"/>
    <w:rsid w:val="9FEDD75F"/>
    <w:rsid w:val="9FEE373E"/>
    <w:rsid w:val="9FFB744A"/>
    <w:rsid w:val="9FFD3872"/>
    <w:rsid w:val="A39FF8A5"/>
    <w:rsid w:val="A52B9395"/>
    <w:rsid w:val="A5CF1D55"/>
    <w:rsid w:val="A79D0153"/>
    <w:rsid w:val="A7BF5CC5"/>
    <w:rsid w:val="AB7C3150"/>
    <w:rsid w:val="ABA9E274"/>
    <w:rsid w:val="ABBF9132"/>
    <w:rsid w:val="ABDEAF0C"/>
    <w:rsid w:val="ABFF14E4"/>
    <w:rsid w:val="AD7F2D0E"/>
    <w:rsid w:val="ADFEF153"/>
    <w:rsid w:val="AE6D881A"/>
    <w:rsid w:val="AEFA435E"/>
    <w:rsid w:val="AEFB6964"/>
    <w:rsid w:val="AF726165"/>
    <w:rsid w:val="AF7740F3"/>
    <w:rsid w:val="AF7B25C8"/>
    <w:rsid w:val="AF8F7255"/>
    <w:rsid w:val="AFDEFF77"/>
    <w:rsid w:val="B0E92822"/>
    <w:rsid w:val="B0EF82CC"/>
    <w:rsid w:val="B1BF80C2"/>
    <w:rsid w:val="B38E58B8"/>
    <w:rsid w:val="B3DFAB74"/>
    <w:rsid w:val="B3F92354"/>
    <w:rsid w:val="B3FD2396"/>
    <w:rsid w:val="B4FF0B2F"/>
    <w:rsid w:val="B5FFBD74"/>
    <w:rsid w:val="B67FFF2B"/>
    <w:rsid w:val="B6B9AA1A"/>
    <w:rsid w:val="B6EE168E"/>
    <w:rsid w:val="B7BC3D0A"/>
    <w:rsid w:val="B7D35B1B"/>
    <w:rsid w:val="B7DBBF5E"/>
    <w:rsid w:val="B7DDCFCC"/>
    <w:rsid w:val="B7F9116E"/>
    <w:rsid w:val="B87E3463"/>
    <w:rsid w:val="B8D55D44"/>
    <w:rsid w:val="BA9EAB6D"/>
    <w:rsid w:val="BABF7AEB"/>
    <w:rsid w:val="BABFCC0D"/>
    <w:rsid w:val="BAC7076F"/>
    <w:rsid w:val="BBA86085"/>
    <w:rsid w:val="BBBF2FFE"/>
    <w:rsid w:val="BBD7DFD9"/>
    <w:rsid w:val="BBDD8741"/>
    <w:rsid w:val="BBEA3F10"/>
    <w:rsid w:val="BBECB585"/>
    <w:rsid w:val="BBEF46C2"/>
    <w:rsid w:val="BBF734F0"/>
    <w:rsid w:val="BBFF62EE"/>
    <w:rsid w:val="BD6BED4D"/>
    <w:rsid w:val="BDEB8499"/>
    <w:rsid w:val="BDEF517E"/>
    <w:rsid w:val="BDF55CC6"/>
    <w:rsid w:val="BDFEF655"/>
    <w:rsid w:val="BDFF7039"/>
    <w:rsid w:val="BE6ADE1C"/>
    <w:rsid w:val="BEBB8A08"/>
    <w:rsid w:val="BEBB906B"/>
    <w:rsid w:val="BEBD8CA5"/>
    <w:rsid w:val="BEF35E33"/>
    <w:rsid w:val="BEFDBD9D"/>
    <w:rsid w:val="BF7D0994"/>
    <w:rsid w:val="BF7F3359"/>
    <w:rsid w:val="BFAF1FDD"/>
    <w:rsid w:val="BFB53012"/>
    <w:rsid w:val="BFB714DA"/>
    <w:rsid w:val="BFBF10B0"/>
    <w:rsid w:val="BFBFD207"/>
    <w:rsid w:val="BFC6EEFF"/>
    <w:rsid w:val="BFCDC1C4"/>
    <w:rsid w:val="BFCF84C5"/>
    <w:rsid w:val="BFDE76BD"/>
    <w:rsid w:val="BFE73011"/>
    <w:rsid w:val="BFEED8EF"/>
    <w:rsid w:val="BFFB5E91"/>
    <w:rsid w:val="BFFE0900"/>
    <w:rsid w:val="BFFE43C7"/>
    <w:rsid w:val="BFFEA408"/>
    <w:rsid w:val="C3EF96BB"/>
    <w:rsid w:val="C7EFC0E9"/>
    <w:rsid w:val="C9BFC9EA"/>
    <w:rsid w:val="CBF1A4CF"/>
    <w:rsid w:val="CBFFB2FE"/>
    <w:rsid w:val="CCFF37FA"/>
    <w:rsid w:val="CDB54758"/>
    <w:rsid w:val="CDED1799"/>
    <w:rsid w:val="CF3E9BCE"/>
    <w:rsid w:val="CF6E0919"/>
    <w:rsid w:val="CF7F906D"/>
    <w:rsid w:val="CFC712B2"/>
    <w:rsid w:val="CFDD4E01"/>
    <w:rsid w:val="CFDD8599"/>
    <w:rsid w:val="CFEE1EA9"/>
    <w:rsid w:val="CFF73084"/>
    <w:rsid w:val="D1F7A8D8"/>
    <w:rsid w:val="D2FB0578"/>
    <w:rsid w:val="D3DA6395"/>
    <w:rsid w:val="D3DFE461"/>
    <w:rsid w:val="D3FF364E"/>
    <w:rsid w:val="D55E59AF"/>
    <w:rsid w:val="D5EFC84D"/>
    <w:rsid w:val="D6DF477A"/>
    <w:rsid w:val="D6F54877"/>
    <w:rsid w:val="D772E496"/>
    <w:rsid w:val="D775A093"/>
    <w:rsid w:val="D7BF24EF"/>
    <w:rsid w:val="D7F5F858"/>
    <w:rsid w:val="D7FFDDDC"/>
    <w:rsid w:val="D9FBF06D"/>
    <w:rsid w:val="D9FE49BF"/>
    <w:rsid w:val="DA7FCAE7"/>
    <w:rsid w:val="DAF3D5BE"/>
    <w:rsid w:val="DB7E6A0F"/>
    <w:rsid w:val="DBB7CCFC"/>
    <w:rsid w:val="DBDEA803"/>
    <w:rsid w:val="DBF60713"/>
    <w:rsid w:val="DBFFD0B1"/>
    <w:rsid w:val="DBFFDCDB"/>
    <w:rsid w:val="DC897683"/>
    <w:rsid w:val="DC993314"/>
    <w:rsid w:val="DCEC1EE7"/>
    <w:rsid w:val="DD7C8BB3"/>
    <w:rsid w:val="DD7F78B0"/>
    <w:rsid w:val="DD7FBF22"/>
    <w:rsid w:val="DD8A6395"/>
    <w:rsid w:val="DDAFDF9D"/>
    <w:rsid w:val="DDB561EF"/>
    <w:rsid w:val="DDB596CA"/>
    <w:rsid w:val="DDEFFD68"/>
    <w:rsid w:val="DDF3B2B0"/>
    <w:rsid w:val="DDF79338"/>
    <w:rsid w:val="DDFD0927"/>
    <w:rsid w:val="DDFE39C1"/>
    <w:rsid w:val="DE3C5D02"/>
    <w:rsid w:val="DE7F4453"/>
    <w:rsid w:val="DE7F8323"/>
    <w:rsid w:val="DEAF5196"/>
    <w:rsid w:val="DEBF360F"/>
    <w:rsid w:val="DEC75504"/>
    <w:rsid w:val="DED57971"/>
    <w:rsid w:val="DEED9817"/>
    <w:rsid w:val="DEFD1D85"/>
    <w:rsid w:val="DF5F871B"/>
    <w:rsid w:val="DF7DAF25"/>
    <w:rsid w:val="DF9BC01D"/>
    <w:rsid w:val="DFACDDA9"/>
    <w:rsid w:val="DFADE3DF"/>
    <w:rsid w:val="DFB7B1BB"/>
    <w:rsid w:val="DFBAF839"/>
    <w:rsid w:val="DFBDCA1D"/>
    <w:rsid w:val="DFDB3420"/>
    <w:rsid w:val="DFDFEEA1"/>
    <w:rsid w:val="DFE75FC8"/>
    <w:rsid w:val="DFEFBCA8"/>
    <w:rsid w:val="DFEFCB97"/>
    <w:rsid w:val="DFF21676"/>
    <w:rsid w:val="DFF3634E"/>
    <w:rsid w:val="DFF76000"/>
    <w:rsid w:val="DFF7DC04"/>
    <w:rsid w:val="DFF8CED7"/>
    <w:rsid w:val="DFFB35FC"/>
    <w:rsid w:val="DFFF74E8"/>
    <w:rsid w:val="E2FDB64A"/>
    <w:rsid w:val="E36B3AD6"/>
    <w:rsid w:val="E37A6CAE"/>
    <w:rsid w:val="E5B7E3E3"/>
    <w:rsid w:val="E5BDFCC1"/>
    <w:rsid w:val="E5DB211D"/>
    <w:rsid w:val="E5EF37E1"/>
    <w:rsid w:val="E6FB33F9"/>
    <w:rsid w:val="E6FE2B6A"/>
    <w:rsid w:val="E73F4950"/>
    <w:rsid w:val="E7B36426"/>
    <w:rsid w:val="E7FCA9CA"/>
    <w:rsid w:val="EA2FA4AC"/>
    <w:rsid w:val="EAE3F503"/>
    <w:rsid w:val="EAFD888C"/>
    <w:rsid w:val="EB734F17"/>
    <w:rsid w:val="EBEB0525"/>
    <w:rsid w:val="EBEDC6FF"/>
    <w:rsid w:val="EBEEBAAD"/>
    <w:rsid w:val="EBF630DF"/>
    <w:rsid w:val="EBFD845E"/>
    <w:rsid w:val="EBFEB83D"/>
    <w:rsid w:val="EBFF34C2"/>
    <w:rsid w:val="EBFF4E92"/>
    <w:rsid w:val="EBFFE168"/>
    <w:rsid w:val="ECF74BFA"/>
    <w:rsid w:val="ED57A47A"/>
    <w:rsid w:val="EDA798F6"/>
    <w:rsid w:val="EDD2E291"/>
    <w:rsid w:val="EDDFEEE3"/>
    <w:rsid w:val="EDEFE870"/>
    <w:rsid w:val="EDFB513D"/>
    <w:rsid w:val="EDFF4C6E"/>
    <w:rsid w:val="EDFF828B"/>
    <w:rsid w:val="EE3FE5CA"/>
    <w:rsid w:val="EE7E2FAF"/>
    <w:rsid w:val="EE7F0589"/>
    <w:rsid w:val="EEDAB9D4"/>
    <w:rsid w:val="EEDF24B3"/>
    <w:rsid w:val="EEE70713"/>
    <w:rsid w:val="EF3E62D3"/>
    <w:rsid w:val="EF3ED59D"/>
    <w:rsid w:val="EF78F9DB"/>
    <w:rsid w:val="EF7BDF97"/>
    <w:rsid w:val="EFBB1B3F"/>
    <w:rsid w:val="EFBDC5F2"/>
    <w:rsid w:val="EFCF1F10"/>
    <w:rsid w:val="EFDA90A7"/>
    <w:rsid w:val="EFE19A96"/>
    <w:rsid w:val="EFEE093C"/>
    <w:rsid w:val="EFEFDF82"/>
    <w:rsid w:val="EFF767EC"/>
    <w:rsid w:val="EFFBC588"/>
    <w:rsid w:val="EFFBF625"/>
    <w:rsid w:val="EFFE20B9"/>
    <w:rsid w:val="EFFEDC6C"/>
    <w:rsid w:val="EFFF47CC"/>
    <w:rsid w:val="EFFF86DF"/>
    <w:rsid w:val="EFFFF3C9"/>
    <w:rsid w:val="F1C661CB"/>
    <w:rsid w:val="F1FEBC09"/>
    <w:rsid w:val="F1FFBA6B"/>
    <w:rsid w:val="F2BFDB01"/>
    <w:rsid w:val="F2FFDCEA"/>
    <w:rsid w:val="F357E959"/>
    <w:rsid w:val="F3BB59CE"/>
    <w:rsid w:val="F3D6296B"/>
    <w:rsid w:val="F3F6CE59"/>
    <w:rsid w:val="F3F74AA0"/>
    <w:rsid w:val="F3FE783E"/>
    <w:rsid w:val="F43D65CD"/>
    <w:rsid w:val="F4FEA88E"/>
    <w:rsid w:val="F55DC269"/>
    <w:rsid w:val="F57F5435"/>
    <w:rsid w:val="F58DB436"/>
    <w:rsid w:val="F5EB048A"/>
    <w:rsid w:val="F5ED9C4A"/>
    <w:rsid w:val="F6253B54"/>
    <w:rsid w:val="F6B98710"/>
    <w:rsid w:val="F6F74642"/>
    <w:rsid w:val="F6FF2203"/>
    <w:rsid w:val="F72FB461"/>
    <w:rsid w:val="F75BC2BE"/>
    <w:rsid w:val="F7679187"/>
    <w:rsid w:val="F7AB0E6D"/>
    <w:rsid w:val="F7AF91E3"/>
    <w:rsid w:val="F7BC44EF"/>
    <w:rsid w:val="F7BFCF4C"/>
    <w:rsid w:val="F7C1CD21"/>
    <w:rsid w:val="F7F22AA8"/>
    <w:rsid w:val="F7F57E03"/>
    <w:rsid w:val="F7F73395"/>
    <w:rsid w:val="F7FAA726"/>
    <w:rsid w:val="F7FE5D95"/>
    <w:rsid w:val="F7FEABE3"/>
    <w:rsid w:val="F7FF1EE4"/>
    <w:rsid w:val="F7FF3774"/>
    <w:rsid w:val="F7FF6326"/>
    <w:rsid w:val="F7FF8A4E"/>
    <w:rsid w:val="F7FF8C8A"/>
    <w:rsid w:val="F8E9FCA6"/>
    <w:rsid w:val="F97F3B61"/>
    <w:rsid w:val="F9BF2FD2"/>
    <w:rsid w:val="F9DA3F6A"/>
    <w:rsid w:val="F9DF1E9E"/>
    <w:rsid w:val="F9FDBE8E"/>
    <w:rsid w:val="FA3F22C5"/>
    <w:rsid w:val="FA676E48"/>
    <w:rsid w:val="FAE7D40D"/>
    <w:rsid w:val="FAF6716D"/>
    <w:rsid w:val="FAFE2858"/>
    <w:rsid w:val="FAFF0D86"/>
    <w:rsid w:val="FB31A7DF"/>
    <w:rsid w:val="FB3F35E5"/>
    <w:rsid w:val="FB559B92"/>
    <w:rsid w:val="FB67781A"/>
    <w:rsid w:val="FB7EB479"/>
    <w:rsid w:val="FB7F7B20"/>
    <w:rsid w:val="FB7F80C8"/>
    <w:rsid w:val="FB8D1AFD"/>
    <w:rsid w:val="FBBB4A96"/>
    <w:rsid w:val="FBBE5ED4"/>
    <w:rsid w:val="FBD729E1"/>
    <w:rsid w:val="FBDCB5EC"/>
    <w:rsid w:val="FBDCD387"/>
    <w:rsid w:val="FBE31FDE"/>
    <w:rsid w:val="FBEAFB62"/>
    <w:rsid w:val="FBEB4FD9"/>
    <w:rsid w:val="FBEE08A3"/>
    <w:rsid w:val="FBF78EF8"/>
    <w:rsid w:val="FBFBEC9E"/>
    <w:rsid w:val="FBFE76D9"/>
    <w:rsid w:val="FBFF0DF0"/>
    <w:rsid w:val="FBFF2880"/>
    <w:rsid w:val="FBFF6CD7"/>
    <w:rsid w:val="FBFF71BE"/>
    <w:rsid w:val="FC4D708C"/>
    <w:rsid w:val="FC6971AD"/>
    <w:rsid w:val="FC7F8E18"/>
    <w:rsid w:val="FC9F8ADE"/>
    <w:rsid w:val="FCBB12C9"/>
    <w:rsid w:val="FCBE0295"/>
    <w:rsid w:val="FCEA0490"/>
    <w:rsid w:val="FCEF44AD"/>
    <w:rsid w:val="FCEF91EF"/>
    <w:rsid w:val="FCF11A0B"/>
    <w:rsid w:val="FCF7CE8F"/>
    <w:rsid w:val="FCF7EACF"/>
    <w:rsid w:val="FCFA4509"/>
    <w:rsid w:val="FCFB7B4A"/>
    <w:rsid w:val="FD26FD43"/>
    <w:rsid w:val="FD2CDE65"/>
    <w:rsid w:val="FD67471B"/>
    <w:rsid w:val="FD73C118"/>
    <w:rsid w:val="FD754F1A"/>
    <w:rsid w:val="FD7B860A"/>
    <w:rsid w:val="FD7E65BB"/>
    <w:rsid w:val="FD7F6B2E"/>
    <w:rsid w:val="FDA594BA"/>
    <w:rsid w:val="FDB57299"/>
    <w:rsid w:val="FDB6FA0C"/>
    <w:rsid w:val="FDB77F31"/>
    <w:rsid w:val="FDBF8177"/>
    <w:rsid w:val="FDEBB121"/>
    <w:rsid w:val="FDEF3837"/>
    <w:rsid w:val="FDFB8763"/>
    <w:rsid w:val="FDFC5F42"/>
    <w:rsid w:val="FDFCBD08"/>
    <w:rsid w:val="FDFFC8BD"/>
    <w:rsid w:val="FDFFFC0D"/>
    <w:rsid w:val="FE3E889A"/>
    <w:rsid w:val="FE65C476"/>
    <w:rsid w:val="FE6D77F2"/>
    <w:rsid w:val="FE7B8ABD"/>
    <w:rsid w:val="FE7D13D9"/>
    <w:rsid w:val="FE7F0179"/>
    <w:rsid w:val="FE7FD178"/>
    <w:rsid w:val="FE8F1826"/>
    <w:rsid w:val="FEBDA00C"/>
    <w:rsid w:val="FEDE6A3A"/>
    <w:rsid w:val="FEDF689C"/>
    <w:rsid w:val="FEEF390F"/>
    <w:rsid w:val="FEF705B8"/>
    <w:rsid w:val="FEF8CF78"/>
    <w:rsid w:val="FEFC1996"/>
    <w:rsid w:val="FEFED3D1"/>
    <w:rsid w:val="FEFF449D"/>
    <w:rsid w:val="FEFF744F"/>
    <w:rsid w:val="FEFF8DE6"/>
    <w:rsid w:val="FF3C5844"/>
    <w:rsid w:val="FF3FAAD1"/>
    <w:rsid w:val="FF477AFA"/>
    <w:rsid w:val="FF4F26DF"/>
    <w:rsid w:val="FF55A143"/>
    <w:rsid w:val="FF56A5F6"/>
    <w:rsid w:val="FF5F2C38"/>
    <w:rsid w:val="FF6E5F57"/>
    <w:rsid w:val="FF734B64"/>
    <w:rsid w:val="FF751D32"/>
    <w:rsid w:val="FF77479F"/>
    <w:rsid w:val="FF7AFE24"/>
    <w:rsid w:val="FF7B00D5"/>
    <w:rsid w:val="FF7B2EFB"/>
    <w:rsid w:val="FF7B8C7A"/>
    <w:rsid w:val="FF7E5145"/>
    <w:rsid w:val="FF8B2AB9"/>
    <w:rsid w:val="FF9C3668"/>
    <w:rsid w:val="FFA7D100"/>
    <w:rsid w:val="FFAF08FC"/>
    <w:rsid w:val="FFAF0CFC"/>
    <w:rsid w:val="FFAFE84E"/>
    <w:rsid w:val="FFB759EF"/>
    <w:rsid w:val="FFB7C6E0"/>
    <w:rsid w:val="FFBD591B"/>
    <w:rsid w:val="FFBD796F"/>
    <w:rsid w:val="FFBE32FF"/>
    <w:rsid w:val="FFBF3981"/>
    <w:rsid w:val="FFBF4E5D"/>
    <w:rsid w:val="FFCF8570"/>
    <w:rsid w:val="FFD4FB10"/>
    <w:rsid w:val="FFDF397E"/>
    <w:rsid w:val="FFEC7533"/>
    <w:rsid w:val="FFED4D92"/>
    <w:rsid w:val="FFEF59A6"/>
    <w:rsid w:val="FFEFF015"/>
    <w:rsid w:val="FFF783D0"/>
    <w:rsid w:val="FFFA7034"/>
    <w:rsid w:val="FFFAABF3"/>
    <w:rsid w:val="FFFB33AA"/>
    <w:rsid w:val="FFFB5348"/>
    <w:rsid w:val="FFFC5CC4"/>
    <w:rsid w:val="FFFDBF73"/>
    <w:rsid w:val="FFFE0150"/>
    <w:rsid w:val="FFFE59E8"/>
    <w:rsid w:val="FFFE6246"/>
    <w:rsid w:val="FFFE8001"/>
    <w:rsid w:val="FFFED78C"/>
    <w:rsid w:val="FFFF2194"/>
    <w:rsid w:val="FFFF4B58"/>
    <w:rsid w:val="FFFF5E36"/>
    <w:rsid w:val="FFFF8FD1"/>
    <w:rsid w:val="FFFFC167"/>
    <w:rsid w:val="FFFFF5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Times New Roman"/>
      <w:sz w:val="22"/>
      <w:szCs w:val="22"/>
      <w:lang w:val="en-US" w:eastAsia="en-US" w:bidi="ar-SA"/>
    </w:rPr>
  </w:style>
  <w:style w:type="paragraph" w:styleId="2">
    <w:name w:val="heading 1"/>
    <w:basedOn w:val="1"/>
    <w:next w:val="1"/>
    <w:link w:val="26"/>
    <w:qFormat/>
    <w:uiPriority w:val="9"/>
    <w:pPr>
      <w:keepNext/>
      <w:keepLines/>
      <w:widowControl/>
      <w:kinsoku w:val="0"/>
      <w:autoSpaceDE w:val="0"/>
      <w:autoSpaceDN w:val="0"/>
      <w:adjustRightInd w:val="0"/>
      <w:snapToGrid w:val="0"/>
      <w:spacing w:before="340" w:after="330" w:line="578" w:lineRule="auto"/>
      <w:textAlignment w:val="baseline"/>
      <w:outlineLvl w:val="0"/>
    </w:pPr>
    <w:rPr>
      <w:rFonts w:ascii="Arial" w:hAnsi="Arial" w:cs="Arial" w:eastAsiaTheme="minorEastAsia"/>
      <w:b/>
      <w:bCs/>
      <w:snapToGrid w:val="0"/>
      <w:color w:val="000000"/>
      <w:kern w:val="44"/>
      <w:sz w:val="44"/>
      <w:szCs w:val="44"/>
      <w:lang w:eastAsia="zh-CN"/>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黑体"/>
      <w:b/>
      <w:bCs/>
      <w:szCs w:val="32"/>
    </w:rPr>
  </w:style>
  <w:style w:type="paragraph" w:styleId="4">
    <w:name w:val="heading 3"/>
    <w:basedOn w:val="1"/>
    <w:next w:val="1"/>
    <w:qFormat/>
    <w:uiPriority w:val="0"/>
    <w:pPr>
      <w:keepNext/>
      <w:keepLines/>
      <w:spacing w:before="260" w:after="260" w:line="416" w:lineRule="auto"/>
      <w:outlineLvl w:val="2"/>
    </w:pPr>
    <w:rPr>
      <w:rFonts w:eastAsia="宋体" w:cs="黑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宋体" w:cs="黑体"/>
      <w:sz w:val="21"/>
    </w:rPr>
  </w:style>
  <w:style w:type="paragraph" w:styleId="6">
    <w:name w:val="annotation text"/>
    <w:basedOn w:val="1"/>
    <w:link w:val="31"/>
    <w:qFormat/>
    <w:uiPriority w:val="0"/>
  </w:style>
  <w:style w:type="paragraph" w:styleId="7">
    <w:name w:val="Body Text"/>
    <w:basedOn w:val="1"/>
    <w:link w:val="25"/>
    <w:qFormat/>
    <w:uiPriority w:val="1"/>
    <w:pPr>
      <w:spacing w:before="35"/>
      <w:ind w:left="115" w:firstLine="600"/>
    </w:pPr>
    <w:rPr>
      <w:rFonts w:ascii="方正仿宋_GBK" w:hAnsi="方正仿宋_GBK" w:eastAsia="方正仿宋_GBK"/>
      <w:sz w:val="30"/>
      <w:szCs w:val="30"/>
    </w:rPr>
  </w:style>
  <w:style w:type="paragraph" w:styleId="8">
    <w:name w:val="Balloon Text"/>
    <w:basedOn w:val="1"/>
    <w:link w:val="30"/>
    <w:qFormat/>
    <w:uiPriority w:val="0"/>
    <w:rPr>
      <w:sz w:val="18"/>
      <w:szCs w:val="18"/>
    </w:rPr>
  </w:style>
  <w:style w:type="paragraph" w:styleId="9">
    <w:name w:val="footer"/>
    <w:basedOn w:val="1"/>
    <w:link w:val="28"/>
    <w:unhideWhenUsed/>
    <w:qFormat/>
    <w:uiPriority w:val="99"/>
    <w:pPr>
      <w:tabs>
        <w:tab w:val="center" w:pos="4153"/>
        <w:tab w:val="right" w:pos="8306"/>
      </w:tabs>
      <w:snapToGrid w:val="0"/>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1">
    <w:name w:val="toc 1"/>
    <w:basedOn w:val="1"/>
    <w:next w:val="1"/>
    <w:unhideWhenUsed/>
    <w:qFormat/>
    <w:uiPriority w:val="39"/>
    <w:pPr>
      <w:widowControl/>
      <w:kinsoku w:val="0"/>
      <w:autoSpaceDE w:val="0"/>
      <w:autoSpaceDN w:val="0"/>
      <w:adjustRightInd w:val="0"/>
      <w:snapToGrid w:val="0"/>
      <w:textAlignment w:val="baseline"/>
    </w:pPr>
    <w:rPr>
      <w:rFonts w:ascii="Arial" w:hAnsi="Arial" w:cs="Arial" w:eastAsiaTheme="minorEastAsia"/>
      <w:snapToGrid w:val="0"/>
      <w:color w:val="000000"/>
      <w:sz w:val="21"/>
      <w:szCs w:val="21"/>
      <w:lang w:eastAsia="zh-CN"/>
    </w:rPr>
  </w:style>
  <w:style w:type="paragraph" w:styleId="12">
    <w:name w:val="Body Text 2"/>
    <w:basedOn w:val="1"/>
    <w:qFormat/>
    <w:uiPriority w:val="0"/>
    <w:pPr>
      <w:spacing w:after="120" w:line="480" w:lineRule="auto"/>
    </w:pPr>
    <w:rPr>
      <w:rFonts w:eastAsia="宋体"/>
    </w:rPr>
  </w:style>
  <w:style w:type="paragraph" w:styleId="13">
    <w:name w:val="Normal (Web)"/>
    <w:basedOn w:val="1"/>
    <w:qFormat/>
    <w:uiPriority w:val="0"/>
    <w:pPr>
      <w:spacing w:before="100" w:beforeAutospacing="1" w:after="100" w:afterAutospacing="1"/>
    </w:pPr>
    <w:rPr>
      <w:sz w:val="24"/>
      <w:lang w:eastAsia="zh-CN"/>
    </w:rPr>
  </w:style>
  <w:style w:type="paragraph" w:styleId="14">
    <w:name w:val="annotation subject"/>
    <w:basedOn w:val="6"/>
    <w:next w:val="6"/>
    <w:link w:val="32"/>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Body text (2)"/>
    <w:basedOn w:val="1"/>
    <w:qFormat/>
    <w:uiPriority w:val="0"/>
    <w:pPr>
      <w:shd w:val="clear" w:color="auto" w:fill="FFFFFF"/>
      <w:spacing w:line="586" w:lineRule="exact"/>
      <w:jc w:val="distribute"/>
    </w:pPr>
    <w:rPr>
      <w:rFonts w:ascii="宋体" w:hAnsi="宋体" w:eastAsia="宋体" w:cs="宋体"/>
      <w:sz w:val="28"/>
      <w:szCs w:val="28"/>
    </w:rPr>
  </w:style>
  <w:style w:type="paragraph" w:customStyle="1" w:styleId="21">
    <w:name w:val="Table Paragraph"/>
    <w:basedOn w:val="1"/>
    <w:qFormat/>
    <w:uiPriority w:val="1"/>
  </w:style>
  <w:style w:type="paragraph" w:styleId="22">
    <w:name w:val="List Paragraph"/>
    <w:basedOn w:val="1"/>
    <w:qFormat/>
    <w:uiPriority w:val="1"/>
  </w:style>
  <w:style w:type="table" w:customStyle="1" w:styleId="23">
    <w:name w:val="Table Normal"/>
    <w:unhideWhenUsed/>
    <w:qFormat/>
    <w:uiPriority w:val="0"/>
    <w:tblPr>
      <w:tblCellMar>
        <w:top w:w="0" w:type="dxa"/>
        <w:left w:w="0" w:type="dxa"/>
        <w:bottom w:w="0" w:type="dxa"/>
        <w:right w:w="0" w:type="dxa"/>
      </w:tblCellMar>
    </w:tblPr>
  </w:style>
  <w:style w:type="table" w:customStyle="1" w:styleId="24">
    <w:name w:val="网格型1"/>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正文文本 Char"/>
    <w:basedOn w:val="17"/>
    <w:link w:val="7"/>
    <w:qFormat/>
    <w:uiPriority w:val="1"/>
    <w:rPr>
      <w:rFonts w:ascii="方正仿宋_GBK" w:hAnsi="方正仿宋_GBK" w:eastAsia="方正仿宋_GBK"/>
      <w:sz w:val="30"/>
      <w:szCs w:val="30"/>
      <w:lang w:eastAsia="en-US"/>
    </w:rPr>
  </w:style>
  <w:style w:type="character" w:customStyle="1" w:styleId="26">
    <w:name w:val="标题 1 Char"/>
    <w:basedOn w:val="17"/>
    <w:link w:val="2"/>
    <w:qFormat/>
    <w:uiPriority w:val="9"/>
    <w:rPr>
      <w:rFonts w:ascii="Arial" w:hAnsi="Arial" w:cs="Arial" w:eastAsiaTheme="minorEastAsia"/>
      <w:b/>
      <w:bCs/>
      <w:snapToGrid w:val="0"/>
      <w:color w:val="000000"/>
      <w:kern w:val="44"/>
      <w:sz w:val="44"/>
      <w:szCs w:val="44"/>
    </w:rPr>
  </w:style>
  <w:style w:type="character" w:customStyle="1" w:styleId="27">
    <w:name w:val="页眉 Char"/>
    <w:basedOn w:val="17"/>
    <w:link w:val="10"/>
    <w:qFormat/>
    <w:uiPriority w:val="99"/>
    <w:rPr>
      <w:rFonts w:eastAsia="Calibri"/>
      <w:sz w:val="18"/>
      <w:szCs w:val="18"/>
      <w:lang w:eastAsia="en-US"/>
    </w:rPr>
  </w:style>
  <w:style w:type="character" w:customStyle="1" w:styleId="28">
    <w:name w:val="页脚 Char"/>
    <w:basedOn w:val="17"/>
    <w:link w:val="9"/>
    <w:qFormat/>
    <w:uiPriority w:val="99"/>
    <w:rPr>
      <w:rFonts w:eastAsia="Calibri"/>
      <w:sz w:val="18"/>
      <w:szCs w:val="18"/>
      <w:lang w:eastAsia="en-US"/>
    </w:rPr>
  </w:style>
  <w:style w:type="paragraph" w:customStyle="1" w:styleId="2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批注框文本 Char"/>
    <w:basedOn w:val="17"/>
    <w:link w:val="8"/>
    <w:qFormat/>
    <w:uiPriority w:val="0"/>
    <w:rPr>
      <w:rFonts w:eastAsia="Calibri"/>
      <w:sz w:val="18"/>
      <w:szCs w:val="18"/>
      <w:lang w:eastAsia="en-US"/>
    </w:rPr>
  </w:style>
  <w:style w:type="character" w:customStyle="1" w:styleId="31">
    <w:name w:val="批注文字 Char"/>
    <w:basedOn w:val="17"/>
    <w:link w:val="6"/>
    <w:qFormat/>
    <w:uiPriority w:val="0"/>
    <w:rPr>
      <w:rFonts w:eastAsia="Calibri"/>
      <w:sz w:val="22"/>
      <w:szCs w:val="22"/>
      <w:lang w:eastAsia="en-US"/>
    </w:rPr>
  </w:style>
  <w:style w:type="character" w:customStyle="1" w:styleId="32">
    <w:name w:val="批注主题 Char"/>
    <w:basedOn w:val="31"/>
    <w:link w:val="14"/>
    <w:qFormat/>
    <w:uiPriority w:val="0"/>
    <w:rPr>
      <w:rFonts w:eastAsia="Calibri"/>
      <w:b/>
      <w:bCs/>
      <w:sz w:val="22"/>
      <w:szCs w:val="22"/>
      <w:lang w:eastAsia="en-US"/>
    </w:rPr>
  </w:style>
  <w:style w:type="character" w:customStyle="1" w:styleId="33">
    <w:name w:val="fontstyle01"/>
    <w:basedOn w:val="17"/>
    <w:qFormat/>
    <w:uiPriority w:val="0"/>
    <w:rPr>
      <w:rFonts w:ascii="方正仿宋_GBK" w:hAnsi="方正仿宋_GBK" w:eastAsia="方正仿宋_GBK" w:cs="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23</Pages>
  <Words>1655</Words>
  <Characters>9440</Characters>
  <Lines>78</Lines>
  <Paragraphs>22</Paragraphs>
  <TotalTime>22</TotalTime>
  <ScaleCrop>false</ScaleCrop>
  <LinksUpToDate>false</LinksUpToDate>
  <CharactersWithSpaces>11073</CharactersWithSpaces>
  <Application>WPS Office WWO_wpscloud_20230620212302-8fa233b272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2023-11-01T19:40:00Z</dcterms:created>
  <dc:creator>Administrator</dc:creator>
  <cp:lastModifiedBy>thtf</cp:lastModifiedBy>
  <dcterms:modified xsi:type="dcterms:W3CDTF">2023-12-20T10:27:58Z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2021-11-21T16:00:00Z</vt:filetime>
  </property>
  <property fmtid="{D5CDD505-2E9C-101B-9397-08002B2CF9AE}" pid="3" name="Creator">
    <vt:lpwstr>WPS 文字</vt:lpwstr>
  </property>
  <property fmtid="{D5CDD505-2E9C-101B-9397-08002B2CF9AE}" pid="4" name="LastSaved">
    <vt:filetime>2023-01-29T16:00:00Z</vt:filetime>
  </property>
  <property fmtid="{D5CDD505-2E9C-101B-9397-08002B2CF9AE}" pid="5" name="KSOProductBuildVer">
    <vt:lpwstr>2052-0.0.0.0</vt:lpwstr>
  </property>
  <property fmtid="{D5CDD505-2E9C-101B-9397-08002B2CF9AE}" pid="6" name="ICV">
    <vt:lpwstr>DD636D77A7074F43A121DC21A79E4C54_13</vt:lpwstr>
  </property>
</Properties>
</file>