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0F" w:rsidRDefault="002D6E4D">
      <w:pPr>
        <w:overflowPunct w:val="0"/>
        <w:spacing w:line="560" w:lineRule="exact"/>
        <w:jc w:val="left"/>
        <w:rPr>
          <w:rFonts w:ascii="Times New Roman" w:eastAsia="黑体" w:hAnsi="Times New Roman"/>
          <w:sz w:val="32"/>
          <w:szCs w:val="40"/>
        </w:rPr>
      </w:pPr>
      <w:r>
        <w:rPr>
          <w:rFonts w:ascii="Times New Roman" w:eastAsia="黑体" w:hAnsi="Times New Roman"/>
          <w:sz w:val="32"/>
          <w:szCs w:val="40"/>
        </w:rPr>
        <w:t>附件</w:t>
      </w:r>
      <w:r>
        <w:rPr>
          <w:rFonts w:ascii="Times New Roman" w:eastAsia="黑体" w:hAnsi="Times New Roman"/>
          <w:sz w:val="32"/>
          <w:szCs w:val="40"/>
        </w:rPr>
        <w:t>1</w:t>
      </w:r>
    </w:p>
    <w:p w:rsidR="0013340F" w:rsidRDefault="0013340F">
      <w:pPr>
        <w:overflowPunct w:val="0"/>
        <w:spacing w:line="560" w:lineRule="exact"/>
        <w:jc w:val="center"/>
        <w:rPr>
          <w:rFonts w:ascii="宋体" w:hAnsi="宋体" w:cs="宋体"/>
          <w:sz w:val="44"/>
          <w:szCs w:val="44"/>
        </w:rPr>
      </w:pPr>
    </w:p>
    <w:p w:rsidR="0013340F" w:rsidRDefault="002D6E4D">
      <w:pPr>
        <w:autoSpaceDE w:val="0"/>
        <w:spacing w:line="560" w:lineRule="exact"/>
        <w:jc w:val="center"/>
        <w:rPr>
          <w:rFonts w:ascii="方正小标宋_GBK" w:eastAsia="方正小标宋_GBK" w:hAnsi="华光大标宋_CNKI" w:cs="华光大标宋_CNKI"/>
          <w:sz w:val="36"/>
          <w:szCs w:val="36"/>
          <w:lang w:bidi="ar"/>
        </w:rPr>
      </w:pPr>
      <w:bookmarkStart w:id="0" w:name="_Hlk166707084"/>
      <w:r>
        <w:rPr>
          <w:rFonts w:ascii="方正小标宋_GBK" w:eastAsia="方正小标宋_GBK" w:hAnsi="华光大标宋_CNKI" w:cs="华光大标宋_CNKI" w:hint="eastAsia"/>
          <w:sz w:val="36"/>
          <w:szCs w:val="36"/>
          <w:lang w:bidi="ar"/>
        </w:rPr>
        <w:t>新疆维吾尔自治区口岸经济发展促进条例（草案）</w:t>
      </w:r>
    </w:p>
    <w:bookmarkEnd w:id="0"/>
    <w:p w:rsidR="0013340F" w:rsidRDefault="0013340F">
      <w:pPr>
        <w:pStyle w:val="21"/>
        <w:rPr>
          <w:lang w:bidi="ar"/>
        </w:rPr>
      </w:pP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第一条</w:t>
      </w:r>
      <w:r>
        <w:rPr>
          <w:rFonts w:ascii="黑体" w:eastAsia="黑体" w:hAnsi="黑体" w:hint="eastAsia"/>
          <w:sz w:val="32"/>
          <w:szCs w:val="32"/>
          <w:shd w:val="clear" w:color="auto" w:fill="FFFFFF"/>
        </w:rPr>
        <w:t xml:space="preserve"> </w:t>
      </w:r>
      <w:r>
        <w:rPr>
          <w:rFonts w:ascii="黑体" w:eastAsia="黑体" w:hAnsi="黑体" w:hint="eastAsia"/>
          <w:sz w:val="32"/>
          <w:szCs w:val="32"/>
          <w:shd w:val="clear" w:color="auto" w:fill="FFFFFF"/>
        </w:rPr>
        <w:t>【立法目的和依据】</w:t>
      </w:r>
      <w:r>
        <w:rPr>
          <w:rFonts w:ascii="黑体" w:eastAsia="黑体" w:hAnsi="黑体" w:hint="eastAsia"/>
          <w:sz w:val="32"/>
          <w:szCs w:val="32"/>
          <w:shd w:val="clear" w:color="auto" w:fill="FFFFFF"/>
        </w:rPr>
        <w:t xml:space="preserve"> </w:t>
      </w:r>
      <w:r>
        <w:rPr>
          <w:rFonts w:ascii="宋体" w:eastAsia="仿宋_GB2312" w:hAnsi="宋体" w:hint="eastAsia"/>
          <w:sz w:val="32"/>
          <w:szCs w:val="32"/>
          <w:shd w:val="clear" w:color="auto" w:fill="FFFFFF"/>
        </w:rPr>
        <w:t>为促进自治区口岸经济发展，推进“一带一路”核心区建设，根据有关法律、行政法规和国家有关规定，结合自治区口岸经济发展实际，制定本条例。</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第二条</w:t>
      </w:r>
      <w:r>
        <w:rPr>
          <w:rFonts w:ascii="黑体" w:eastAsia="黑体" w:hAnsi="黑体" w:hint="eastAsia"/>
          <w:sz w:val="32"/>
          <w:szCs w:val="32"/>
          <w:shd w:val="clear" w:color="auto" w:fill="FFFFFF"/>
        </w:rPr>
        <w:t xml:space="preserve"> </w:t>
      </w:r>
      <w:r>
        <w:rPr>
          <w:rFonts w:ascii="黑体" w:eastAsia="黑体" w:hAnsi="黑体" w:hint="eastAsia"/>
          <w:sz w:val="32"/>
          <w:szCs w:val="32"/>
          <w:shd w:val="clear" w:color="auto" w:fill="FFFFFF"/>
        </w:rPr>
        <w:t>【定义】</w:t>
      </w:r>
      <w:r>
        <w:rPr>
          <w:rFonts w:ascii="黑体" w:eastAsia="黑体" w:hAnsi="黑体" w:hint="eastAsia"/>
          <w:sz w:val="32"/>
          <w:szCs w:val="32"/>
          <w:shd w:val="clear" w:color="auto" w:fill="FFFFFF"/>
        </w:rPr>
        <w:t xml:space="preserve"> </w:t>
      </w:r>
      <w:r>
        <w:rPr>
          <w:rFonts w:ascii="宋体" w:eastAsia="仿宋_GB2312" w:hAnsi="宋体" w:hint="eastAsia"/>
          <w:sz w:val="32"/>
          <w:szCs w:val="32"/>
          <w:shd w:val="clear" w:color="auto" w:fill="FFFFFF"/>
        </w:rPr>
        <w:t>本条例所称口岸是供人员、货物、物品和交通工具直接出入国</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关、边</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境的港口、机场、车站、跨境通道等。</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第三条</w:t>
      </w:r>
      <w:r>
        <w:rPr>
          <w:rFonts w:ascii="黑体" w:eastAsia="黑体" w:hAnsi="黑体" w:hint="eastAsia"/>
          <w:sz w:val="32"/>
          <w:szCs w:val="32"/>
          <w:shd w:val="clear" w:color="auto" w:fill="FFFFFF"/>
        </w:rPr>
        <w:t xml:space="preserve"> </w:t>
      </w:r>
      <w:r>
        <w:rPr>
          <w:rFonts w:ascii="黑体" w:eastAsia="黑体" w:hAnsi="黑体" w:hint="eastAsia"/>
          <w:sz w:val="32"/>
          <w:szCs w:val="32"/>
          <w:shd w:val="clear" w:color="auto" w:fill="FFFFFF"/>
        </w:rPr>
        <w:t>【适用范围】</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在自治区行政区域范围内，以各类口岸为载体，通过人流、物流、资金流、信息流等经济元素，促进口岸经济发展有关工作，适用本条例。</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第四条【基本原则】</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促进口岸经济发展，应当坚持服务大局、效益优先、协同发展、规范管理原则，推进平安、效能、智慧、法治、</w:t>
      </w:r>
      <w:proofErr w:type="gramStart"/>
      <w:r>
        <w:rPr>
          <w:rFonts w:ascii="宋体" w:eastAsia="仿宋_GB2312" w:hAnsi="宋体" w:hint="eastAsia"/>
          <w:sz w:val="32"/>
          <w:szCs w:val="32"/>
          <w:shd w:val="clear" w:color="auto" w:fill="FFFFFF"/>
        </w:rPr>
        <w:t>绿色口岸</w:t>
      </w:r>
      <w:proofErr w:type="gramEnd"/>
      <w:r>
        <w:rPr>
          <w:rFonts w:ascii="宋体" w:eastAsia="仿宋_GB2312" w:hAnsi="宋体" w:hint="eastAsia"/>
          <w:sz w:val="32"/>
          <w:szCs w:val="32"/>
          <w:shd w:val="clear" w:color="auto" w:fill="FFFFFF"/>
        </w:rPr>
        <w:t>建设，深化与“一带一路”沿线国家、国内各省区市的合作交流。</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第五条【政府职责】</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自治区人民政府按照国家口岸管理要求，加强对</w:t>
      </w:r>
      <w:proofErr w:type="gramStart"/>
      <w:r>
        <w:rPr>
          <w:rFonts w:ascii="宋体" w:eastAsia="仿宋_GB2312" w:hAnsi="宋体" w:hint="eastAsia"/>
          <w:sz w:val="32"/>
          <w:szCs w:val="32"/>
          <w:shd w:val="clear" w:color="auto" w:fill="FFFFFF"/>
        </w:rPr>
        <w:t>全区口岸</w:t>
      </w:r>
      <w:proofErr w:type="gramEnd"/>
      <w:r>
        <w:rPr>
          <w:rFonts w:ascii="宋体" w:eastAsia="仿宋_GB2312" w:hAnsi="宋体" w:hint="eastAsia"/>
          <w:sz w:val="32"/>
          <w:szCs w:val="32"/>
          <w:shd w:val="clear" w:color="auto" w:fill="FFFFFF"/>
        </w:rPr>
        <w:t>工作的领导，统筹推进</w:t>
      </w:r>
      <w:proofErr w:type="gramStart"/>
      <w:r>
        <w:rPr>
          <w:rFonts w:ascii="宋体" w:eastAsia="仿宋_GB2312" w:hAnsi="宋体" w:hint="eastAsia"/>
          <w:sz w:val="32"/>
          <w:szCs w:val="32"/>
          <w:shd w:val="clear" w:color="auto" w:fill="FFFFFF"/>
        </w:rPr>
        <w:t>全区口岸</w:t>
      </w:r>
      <w:proofErr w:type="gramEnd"/>
      <w:r>
        <w:rPr>
          <w:rFonts w:ascii="宋体" w:eastAsia="仿宋_GB2312" w:hAnsi="宋体" w:hint="eastAsia"/>
          <w:sz w:val="32"/>
          <w:szCs w:val="32"/>
          <w:shd w:val="clear" w:color="auto" w:fill="FFFFFF"/>
        </w:rPr>
        <w:t>建设和发展，协调解决</w:t>
      </w:r>
      <w:proofErr w:type="gramStart"/>
      <w:r>
        <w:rPr>
          <w:rFonts w:ascii="宋体" w:eastAsia="仿宋_GB2312" w:hAnsi="宋体" w:hint="eastAsia"/>
          <w:sz w:val="32"/>
          <w:szCs w:val="32"/>
          <w:shd w:val="clear" w:color="auto" w:fill="FFFFFF"/>
        </w:rPr>
        <w:t>全区口岸</w:t>
      </w:r>
      <w:proofErr w:type="gramEnd"/>
      <w:r>
        <w:rPr>
          <w:rFonts w:ascii="宋体" w:eastAsia="仿宋_GB2312" w:hAnsi="宋体" w:hint="eastAsia"/>
          <w:sz w:val="32"/>
          <w:szCs w:val="32"/>
          <w:shd w:val="clear" w:color="auto" w:fill="FFFFFF"/>
        </w:rPr>
        <w:t>建设发展中的重大问题。</w:t>
      </w:r>
    </w:p>
    <w:p w:rsidR="0013340F" w:rsidRDefault="002D6E4D">
      <w:pPr>
        <w:autoSpaceDE w:val="0"/>
        <w:adjustRightInd w:val="0"/>
        <w:spacing w:line="560" w:lineRule="exact"/>
        <w:rPr>
          <w:rFonts w:ascii="宋体" w:eastAsia="仿宋_GB2312" w:hAnsi="宋体"/>
          <w:sz w:val="32"/>
          <w:szCs w:val="32"/>
          <w:shd w:val="clear" w:color="auto" w:fill="FFFFFF"/>
        </w:rPr>
      </w:pPr>
      <w:r>
        <w:rPr>
          <w:rFonts w:ascii="宋体" w:eastAsia="仿宋_GB2312" w:hAnsi="宋体" w:hint="eastAsia"/>
          <w:sz w:val="32"/>
          <w:szCs w:val="32"/>
          <w:shd w:val="clear" w:color="auto" w:fill="FFFFFF"/>
        </w:rPr>
        <w:t>自治区口岸管理部门按照规定权限，负责沟通协调、业务指导、政策支持，实施分类管理，做好管理服务工作。自治区相关部门根据职责，做好口岸经济发展相关工作。</w:t>
      </w:r>
    </w:p>
    <w:p w:rsidR="0013340F" w:rsidRDefault="002D6E4D">
      <w:pPr>
        <w:autoSpaceDE w:val="0"/>
        <w:adjustRightInd w:val="0"/>
        <w:spacing w:line="560" w:lineRule="exact"/>
        <w:rPr>
          <w:rFonts w:ascii="宋体" w:eastAsia="仿宋_GB2312" w:hAnsi="宋体"/>
          <w:sz w:val="32"/>
          <w:szCs w:val="32"/>
          <w:shd w:val="clear" w:color="auto" w:fill="FFFFFF"/>
        </w:rPr>
      </w:pPr>
      <w:r>
        <w:rPr>
          <w:rFonts w:ascii="宋体" w:eastAsia="仿宋_GB2312" w:hAnsi="宋体" w:hint="eastAsia"/>
          <w:sz w:val="32"/>
          <w:szCs w:val="32"/>
          <w:shd w:val="clear" w:color="auto" w:fill="FFFFFF"/>
        </w:rPr>
        <w:lastRenderedPageBreak/>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承担辖区</w:t>
      </w:r>
      <w:proofErr w:type="gramStart"/>
      <w:r>
        <w:rPr>
          <w:rFonts w:ascii="宋体" w:eastAsia="仿宋_GB2312" w:hAnsi="宋体" w:hint="eastAsia"/>
          <w:sz w:val="32"/>
          <w:szCs w:val="32"/>
          <w:shd w:val="clear" w:color="auto" w:fill="FFFFFF"/>
        </w:rPr>
        <w:t>内口</w:t>
      </w:r>
      <w:r>
        <w:rPr>
          <w:rFonts w:ascii="宋体" w:eastAsia="仿宋_GB2312" w:hAnsi="宋体" w:hint="eastAsia"/>
          <w:sz w:val="32"/>
          <w:szCs w:val="32"/>
          <w:shd w:val="clear" w:color="auto" w:fill="FFFFFF"/>
        </w:rPr>
        <w:t>岸</w:t>
      </w:r>
      <w:proofErr w:type="gramEnd"/>
      <w:r>
        <w:rPr>
          <w:rFonts w:ascii="宋体" w:eastAsia="仿宋_GB2312" w:hAnsi="宋体" w:hint="eastAsia"/>
          <w:sz w:val="32"/>
          <w:szCs w:val="32"/>
          <w:shd w:val="clear" w:color="auto" w:fill="FFFFFF"/>
        </w:rPr>
        <w:t>经济发展促进的主体责任，明确主管部门和有关部门职责分工。县</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市、区</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人民政府协调做好辖区</w:t>
      </w:r>
      <w:proofErr w:type="gramStart"/>
      <w:r>
        <w:rPr>
          <w:rFonts w:ascii="宋体" w:eastAsia="仿宋_GB2312" w:hAnsi="宋体" w:hint="eastAsia"/>
          <w:sz w:val="32"/>
          <w:szCs w:val="32"/>
          <w:shd w:val="clear" w:color="auto" w:fill="FFFFFF"/>
        </w:rPr>
        <w:t>内口岸</w:t>
      </w:r>
      <w:proofErr w:type="gramEnd"/>
      <w:r>
        <w:rPr>
          <w:rFonts w:ascii="宋体" w:eastAsia="仿宋_GB2312" w:hAnsi="宋体" w:hint="eastAsia"/>
          <w:sz w:val="32"/>
          <w:szCs w:val="32"/>
          <w:shd w:val="clear" w:color="auto" w:fill="FFFFFF"/>
        </w:rPr>
        <w:t>经济有关工作。</w:t>
      </w:r>
    </w:p>
    <w:p w:rsidR="0013340F" w:rsidRDefault="002D6E4D">
      <w:pPr>
        <w:autoSpaceDE w:val="0"/>
        <w:adjustRightInd w:val="0"/>
        <w:spacing w:line="560" w:lineRule="exact"/>
        <w:rPr>
          <w:rFonts w:ascii="宋体" w:eastAsia="仿宋_GB2312" w:hAnsi="宋体"/>
          <w:sz w:val="32"/>
          <w:szCs w:val="32"/>
          <w:shd w:val="clear" w:color="auto" w:fill="FFFFFF"/>
        </w:rPr>
      </w:pPr>
      <w:r>
        <w:rPr>
          <w:rFonts w:ascii="宋体" w:eastAsia="仿宋_GB2312" w:hAnsi="宋体" w:hint="eastAsia"/>
          <w:sz w:val="32"/>
          <w:szCs w:val="32"/>
          <w:shd w:val="clear" w:color="auto" w:fill="FFFFFF"/>
        </w:rPr>
        <w:t>海关、边检、道路运输、税务、人民银行、民航、铁路等单位依法做好自治区口岸检查检验、监督管理、服务保障等工作，协同落实自治区口岸经济发展有关工作。</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第六条【决策咨询】</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鼓励县级以上人民政府建立口岸经济决策咨询机制，加强与高校、智库、研究机构的沟通合作，组织开展前瞻性研究和重大创新举措论证，为促进口岸经济发展提供智力支持和决策参考。</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第七条【激励机制】</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鼓励对促进口岸经济发展工作中做出突出贡献的单位和</w:t>
      </w:r>
      <w:r>
        <w:rPr>
          <w:rFonts w:ascii="宋体" w:eastAsia="仿宋_GB2312" w:hAnsi="宋体" w:hint="eastAsia"/>
          <w:sz w:val="32"/>
          <w:szCs w:val="32"/>
          <w:shd w:val="clear" w:color="auto" w:fill="FFFFFF"/>
        </w:rPr>
        <w:t>个人给予表彰奖励。</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第八条【规划布局】</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应当将口岸经济发展促进纳入国民经济和社会发展、国土空间总体规划，并与产业发展、环境保护等规划衔接，推动口岸与地方经济协同发展。</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第九条【用地保障】</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县级以上人民政府应当严格依据资源环境承载能力、国土空间开发适宜性、区位特点、资源禀赋、产业基础和交通优势等因素，保障口岸用地规模。</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第十条【规划程序】</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应当根据国民经济发展总体规划，编制口岸经济发展规划或专项规划，经批准后实施。相关规划未经法定程序不得擅</w:t>
      </w:r>
      <w:r>
        <w:rPr>
          <w:rFonts w:ascii="宋体" w:eastAsia="仿宋_GB2312" w:hAnsi="宋体" w:hint="eastAsia"/>
          <w:sz w:val="32"/>
          <w:szCs w:val="32"/>
          <w:shd w:val="clear" w:color="auto" w:fill="FFFFFF"/>
        </w:rPr>
        <w:t>自更改。确需更改的，应当依照规划编制程序报原批准机关批准。</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lastRenderedPageBreak/>
        <w:t>第十一条【设施建设】</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完善口岸通关查验、安全防护和沿边地区交通、能源、水利、管网、信息等基础设施建设，提升通行能力，健全安全体系，支撑口岸及沿边地区经济高质量发展。</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第十二条【财政支持】</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应当将口岸经济发展建设所需经费列入本级财政预算。整合有关资源，鼓励社会资本支持口岸设施建设和口岸经济发展。</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第十三条【产业布局】</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应当科学布局产业发展，完善产业</w:t>
      </w:r>
      <w:proofErr w:type="gramStart"/>
      <w:r>
        <w:rPr>
          <w:rFonts w:ascii="宋体" w:eastAsia="仿宋_GB2312" w:hAnsi="宋体" w:hint="eastAsia"/>
          <w:sz w:val="32"/>
          <w:szCs w:val="32"/>
          <w:shd w:val="clear" w:color="auto" w:fill="FFFFFF"/>
        </w:rPr>
        <w:t>链供应</w:t>
      </w:r>
      <w:proofErr w:type="gramEnd"/>
      <w:r>
        <w:rPr>
          <w:rFonts w:ascii="宋体" w:eastAsia="仿宋_GB2312" w:hAnsi="宋体" w:hint="eastAsia"/>
          <w:sz w:val="32"/>
          <w:szCs w:val="32"/>
          <w:shd w:val="clear" w:color="auto" w:fill="FFFFFF"/>
        </w:rPr>
        <w:t>链，推动境内外、上下游产业联动发展、集群发展，构建体现口岸差异化的特色优势产业体系。</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第十四条【产业政策】</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应当制定符合国家现行优惠政策的产业政策，吸引企业落地发展进出口贸易、进出口加工、仓储物流、跨境旅游等口岸经济。</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第十五条【招商引资】</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加强引导和服务，整合招商引资资源，促进口岸产业集聚发展。</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第十六条【产业融资】</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鼓励金融机构根据国家有关规定，进行金融产品、业务、服务和</w:t>
      </w:r>
      <w:r>
        <w:rPr>
          <w:rFonts w:ascii="宋体" w:eastAsia="仿宋_GB2312" w:hAnsi="宋体" w:hint="eastAsia"/>
          <w:sz w:val="32"/>
          <w:szCs w:val="32"/>
          <w:shd w:val="clear" w:color="auto" w:fill="FFFFFF"/>
        </w:rPr>
        <w:t>风险管理等方面的探索。鼓励企业通过股权融资、债权融资等方式拓宽融资渠道，募集发展资金。</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第十七条【平台联动】</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应当推动中国</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新疆</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自由贸易试验区片区，喀什、霍尔果斯经济开发区，沿边重点开发开放试验区，各经济技术开发区、高新技术产业开发区、综合保税区、边境经济合作区、乌鲁木齐国际陆港</w:t>
      </w:r>
      <w:r>
        <w:rPr>
          <w:rFonts w:ascii="宋体" w:eastAsia="仿宋_GB2312" w:hAnsi="宋体" w:hint="eastAsia"/>
          <w:sz w:val="32"/>
          <w:szCs w:val="32"/>
          <w:shd w:val="clear" w:color="auto" w:fill="FFFFFF"/>
        </w:rPr>
        <w:lastRenderedPageBreak/>
        <w:t>区等开发开放平台与口岸经济协同发展。</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第十八条【开放合作】</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应当加强对内对外合作，充分发挥口岸特色功能，建立健全与其他省区市口岸跨区域合作机制，协调推进与“一带一路”沿线国家开展海关监管、认证认可、标准计量等交流与合作。</w:t>
      </w:r>
      <w:r>
        <w:rPr>
          <w:rFonts w:ascii="宋体" w:eastAsia="仿宋_GB2312" w:hAnsi="宋体" w:hint="eastAsia"/>
          <w:sz w:val="32"/>
          <w:szCs w:val="32"/>
          <w:shd w:val="clear" w:color="auto" w:fill="FFFFFF"/>
        </w:rPr>
        <w:t xml:space="preserve"> </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第十九条【开放交流】</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应当加强对内对外交流，发挥地方驻外机构和贸促会、工商联、行业协会、地方商会等团体作用，开展经贸、投资、产业、文旅、医疗、教育、科技等方面的合作。</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第二十条【人才支持】</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县级以上人民政府应当制定人才政策，按照相关规定，在住房、医疗、子女教育等方面给予</w:t>
      </w:r>
      <w:r>
        <w:rPr>
          <w:rFonts w:ascii="宋体" w:eastAsia="仿宋_GB2312" w:hAnsi="宋体" w:hint="eastAsia"/>
          <w:sz w:val="32"/>
          <w:szCs w:val="32"/>
          <w:shd w:val="clear" w:color="auto" w:fill="FFFFFF"/>
        </w:rPr>
        <w:t>支持，吸引人才来口岸创新创业。</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第二十一条【外商准入】</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县级以上人民政府依法落实外商投资准入前国民待遇加负面清单管理制度，鼓励和支持国内外投资者参与口岸经济发展。</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第二十二条【跨境合作】</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应当建立和完善与毗邻国家对应政府和机构间的定期会谈机制，推进与周边国家的经认证的经营者互认合作。协调推进执法等领域合作，按照我国已经批准的条件进行提档升级。</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第二十三条【边民互市】</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sidR="00BE646E">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应当协调推动，优化边民互市贸易交易及监管</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查验</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流程，开展边民互市进口商品落地加工</w:t>
      </w:r>
      <w:r>
        <w:rPr>
          <w:rFonts w:ascii="宋体" w:eastAsia="仿宋_GB2312" w:hAnsi="宋体" w:hint="eastAsia"/>
          <w:sz w:val="32"/>
          <w:szCs w:val="32"/>
          <w:shd w:val="clear" w:color="auto" w:fill="FFFFFF"/>
        </w:rPr>
        <w:t>试点，推进边民互市智能化、信息化平台建设。</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lastRenderedPageBreak/>
        <w:t>第二十四条【进出口流程】</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w:t>
      </w:r>
      <w:bookmarkStart w:id="1" w:name="_GoBack"/>
      <w:r>
        <w:rPr>
          <w:rFonts w:ascii="宋体" w:eastAsia="仿宋_GB2312" w:hAnsi="宋体" w:hint="eastAsia"/>
          <w:sz w:val="32"/>
          <w:szCs w:val="32"/>
          <w:shd w:val="clear" w:color="auto" w:fill="FFFFFF"/>
        </w:rPr>
        <w:t>人民政</w:t>
      </w:r>
      <w:bookmarkEnd w:id="1"/>
      <w:r>
        <w:rPr>
          <w:rFonts w:ascii="宋体" w:eastAsia="仿宋_GB2312" w:hAnsi="宋体" w:hint="eastAsia"/>
          <w:sz w:val="32"/>
          <w:szCs w:val="32"/>
          <w:shd w:val="clear" w:color="auto" w:fill="FFFFFF"/>
        </w:rPr>
        <w:t>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协调推进一个窗口受理、集中办理、限时办结，优化监管证件办理程序提高审批时效。</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第二十五条【通关效率】</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州</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市、地</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级以上人民政府</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行政公署</w:t>
      </w:r>
      <w:r>
        <w:rPr>
          <w:rFonts w:ascii="宋体" w:eastAsia="仿宋_GB2312" w:hAnsi="宋体" w:hint="eastAsia"/>
          <w:sz w:val="32"/>
          <w:szCs w:val="32"/>
          <w:shd w:val="clear" w:color="auto" w:fill="FFFFFF"/>
        </w:rPr>
        <w:t>)</w:t>
      </w:r>
      <w:r>
        <w:rPr>
          <w:rFonts w:ascii="宋体" w:eastAsia="仿宋_GB2312" w:hAnsi="宋体" w:hint="eastAsia"/>
          <w:sz w:val="32"/>
          <w:szCs w:val="32"/>
          <w:shd w:val="clear" w:color="auto" w:fill="FFFFFF"/>
        </w:rPr>
        <w:t>支持优化人员和货物通关流程，推进</w:t>
      </w:r>
      <w:proofErr w:type="gramStart"/>
      <w:r>
        <w:rPr>
          <w:rFonts w:ascii="宋体" w:eastAsia="仿宋_GB2312" w:hAnsi="宋体" w:hint="eastAsia"/>
          <w:sz w:val="32"/>
          <w:szCs w:val="32"/>
          <w:shd w:val="clear" w:color="auto" w:fill="FFFFFF"/>
        </w:rPr>
        <w:t>智慧口岸</w:t>
      </w:r>
      <w:proofErr w:type="gramEnd"/>
      <w:r>
        <w:rPr>
          <w:rFonts w:ascii="宋体" w:eastAsia="仿宋_GB2312" w:hAnsi="宋体" w:hint="eastAsia"/>
          <w:sz w:val="32"/>
          <w:szCs w:val="32"/>
          <w:shd w:val="clear" w:color="auto" w:fill="FFFFFF"/>
        </w:rPr>
        <w:t>建设，推动提升进出境人员、运输工具和货物查验管理智能化、便利化水平，优化完善进出境服务管理措施，提升口岸通关便利化水平。</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第二十六</w:t>
      </w:r>
      <w:r>
        <w:rPr>
          <w:rFonts w:ascii="黑体" w:eastAsia="黑体" w:hAnsi="黑体" w:hint="eastAsia"/>
          <w:sz w:val="32"/>
          <w:szCs w:val="32"/>
          <w:shd w:val="clear" w:color="auto" w:fill="FFFFFF"/>
        </w:rPr>
        <w:t>条【单一窗口】</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自治区人民政府推进口岸管理资源共享，协助深化国际贸易“单一窗口”应用推广与运维</w:t>
      </w:r>
      <w:r>
        <w:rPr>
          <w:rFonts w:ascii="宋体" w:eastAsia="仿宋_GB2312" w:hAnsi="宋体" w:hint="eastAsia"/>
          <w:sz w:val="32"/>
          <w:szCs w:val="32"/>
          <w:shd w:val="clear" w:color="auto" w:fill="FFFFFF"/>
        </w:rPr>
        <w:t>，加强信息共享，为企业提供全程“一站式”服务，提升跨境贸易便利化水平。</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第二十七</w:t>
      </w:r>
      <w:r>
        <w:rPr>
          <w:rFonts w:ascii="黑体" w:eastAsia="黑体" w:hAnsi="黑体" w:hint="eastAsia"/>
          <w:sz w:val="32"/>
          <w:szCs w:val="32"/>
          <w:shd w:val="clear" w:color="auto" w:fill="FFFFFF"/>
        </w:rPr>
        <w:t>条【公共服务】</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县级以上人民政府持续优化口岸及沿边地区基本公共服务保障，配套建设居住区、医院、学校、文体设施等民生配套设施，提供便利的生活服务保障。</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第二十八条【政商关系】</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依法保护口岸经营主体合法权益，构建亲清政商关系，保障口岸各类经营主体依法平等使用资金、技术、人力、自然资源等生产要素和公共服务。</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第二十九</w:t>
      </w:r>
      <w:r>
        <w:rPr>
          <w:rFonts w:ascii="黑体" w:eastAsia="黑体" w:hAnsi="黑体" w:hint="eastAsia"/>
          <w:sz w:val="32"/>
          <w:szCs w:val="32"/>
          <w:shd w:val="clear" w:color="auto" w:fill="FFFFFF"/>
        </w:rPr>
        <w:t>条【维护合法权益】</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除法律、法规规定外，任何单位和个人不得强制或者变相强制口岸经营主体参加评比、达标、表彰、培训、考核、</w:t>
      </w:r>
      <w:r>
        <w:rPr>
          <w:rFonts w:ascii="宋体" w:eastAsia="仿宋_GB2312" w:hAnsi="宋体" w:hint="eastAsia"/>
          <w:sz w:val="32"/>
          <w:szCs w:val="32"/>
          <w:shd w:val="clear" w:color="auto" w:fill="FFFFFF"/>
        </w:rPr>
        <w:t>考试以及类似活动。</w:t>
      </w:r>
      <w:r>
        <w:rPr>
          <w:rFonts w:ascii="宋体" w:eastAsia="仿宋_GB2312" w:hAnsi="宋体" w:hint="eastAsia"/>
          <w:sz w:val="32"/>
          <w:szCs w:val="32"/>
          <w:shd w:val="clear" w:color="auto" w:fill="FFFFFF"/>
        </w:rPr>
        <w:t xml:space="preserve"> </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t>第三十条【行政人员责任】</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口岸管理部门、口岸查验机构等行政机关的工作人员在履行监督管理职责时，玩忽职守、滥用职权、徇私舞弊的，由其任免机关或者监察机关依法给予处分。</w:t>
      </w:r>
    </w:p>
    <w:p w:rsidR="0013340F" w:rsidRDefault="002D6E4D">
      <w:pPr>
        <w:autoSpaceDE w:val="0"/>
        <w:adjustRightInd w:val="0"/>
        <w:spacing w:line="560" w:lineRule="exact"/>
        <w:ind w:firstLineChars="200" w:firstLine="640"/>
        <w:rPr>
          <w:rFonts w:ascii="宋体" w:eastAsia="仿宋_GB2312" w:hAnsi="宋体"/>
          <w:sz w:val="32"/>
          <w:szCs w:val="32"/>
          <w:shd w:val="clear" w:color="auto" w:fill="FFFFFF"/>
        </w:rPr>
      </w:pPr>
      <w:r>
        <w:rPr>
          <w:rFonts w:ascii="黑体" w:eastAsia="黑体" w:hAnsi="黑体" w:hint="eastAsia"/>
          <w:sz w:val="32"/>
          <w:szCs w:val="32"/>
          <w:shd w:val="clear" w:color="auto" w:fill="FFFFFF"/>
        </w:rPr>
        <w:lastRenderedPageBreak/>
        <w:t>第三十一</w:t>
      </w:r>
      <w:r>
        <w:rPr>
          <w:rFonts w:ascii="黑体" w:eastAsia="黑体" w:hAnsi="黑体" w:hint="eastAsia"/>
          <w:sz w:val="32"/>
          <w:szCs w:val="32"/>
          <w:shd w:val="clear" w:color="auto" w:fill="FFFFFF"/>
        </w:rPr>
        <w:t>条【法律责任】</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违反本条例规定的行为，国家有关法律、法规已经</w:t>
      </w:r>
      <w:proofErr w:type="gramStart"/>
      <w:r>
        <w:rPr>
          <w:rFonts w:ascii="宋体" w:eastAsia="仿宋_GB2312" w:hAnsi="宋体" w:hint="eastAsia"/>
          <w:sz w:val="32"/>
          <w:szCs w:val="32"/>
          <w:shd w:val="clear" w:color="auto" w:fill="FFFFFF"/>
        </w:rPr>
        <w:t>作出</w:t>
      </w:r>
      <w:proofErr w:type="gramEnd"/>
      <w:r>
        <w:rPr>
          <w:rFonts w:ascii="宋体" w:eastAsia="仿宋_GB2312" w:hAnsi="宋体" w:hint="eastAsia"/>
          <w:sz w:val="32"/>
          <w:szCs w:val="32"/>
          <w:shd w:val="clear" w:color="auto" w:fill="FFFFFF"/>
        </w:rPr>
        <w:t>具体处罚规定的，从其规定。构成犯罪的，依法追究刑事责任。</w:t>
      </w:r>
    </w:p>
    <w:p w:rsidR="0013340F" w:rsidRDefault="002D6E4D">
      <w:pPr>
        <w:autoSpaceDE w:val="0"/>
        <w:adjustRightInd w:val="0"/>
        <w:spacing w:line="560" w:lineRule="exact"/>
        <w:ind w:firstLineChars="200" w:firstLine="640"/>
        <w:rPr>
          <w:rFonts w:ascii="黑体" w:eastAsia="黑体" w:hAnsi="黑体" w:cs="黑体"/>
          <w:sz w:val="32"/>
          <w:szCs w:val="32"/>
          <w:shd w:val="clear" w:color="auto" w:fill="FFFFFF"/>
        </w:rPr>
      </w:pPr>
      <w:r>
        <w:rPr>
          <w:rFonts w:ascii="黑体" w:eastAsia="黑体" w:hAnsi="黑体" w:hint="eastAsia"/>
          <w:sz w:val="32"/>
          <w:szCs w:val="32"/>
          <w:shd w:val="clear" w:color="auto" w:fill="FFFFFF"/>
        </w:rPr>
        <w:t>第三十二</w:t>
      </w:r>
      <w:r>
        <w:rPr>
          <w:rFonts w:ascii="黑体" w:eastAsia="黑体" w:hAnsi="黑体" w:hint="eastAsia"/>
          <w:sz w:val="32"/>
          <w:szCs w:val="32"/>
          <w:shd w:val="clear" w:color="auto" w:fill="FFFFFF"/>
        </w:rPr>
        <w:t>条</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本条例自</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年</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月</w:t>
      </w:r>
      <w:r>
        <w:rPr>
          <w:rFonts w:ascii="宋体" w:eastAsia="仿宋_GB2312" w:hAnsi="宋体" w:hint="eastAsia"/>
          <w:sz w:val="32"/>
          <w:szCs w:val="32"/>
          <w:shd w:val="clear" w:color="auto" w:fill="FFFFFF"/>
        </w:rPr>
        <w:t xml:space="preserve">    </w:t>
      </w:r>
      <w:r>
        <w:rPr>
          <w:rFonts w:ascii="宋体" w:eastAsia="仿宋_GB2312" w:hAnsi="宋体" w:hint="eastAsia"/>
          <w:sz w:val="32"/>
          <w:szCs w:val="32"/>
          <w:shd w:val="clear" w:color="auto" w:fill="FFFFFF"/>
        </w:rPr>
        <w:t>日起施行。</w:t>
      </w:r>
    </w:p>
    <w:sectPr w:rsidR="0013340F">
      <w:footerReference w:type="default" r:id="rId9"/>
      <w:pgSz w:w="11906" w:h="16838"/>
      <w:pgMar w:top="2120" w:right="1531" w:bottom="1417" w:left="1531" w:header="851" w:footer="992" w:gutter="0"/>
      <w:pgNumType w:fmt="numberInDash"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4D" w:rsidRDefault="002D6E4D">
      <w:r>
        <w:separator/>
      </w:r>
    </w:p>
  </w:endnote>
  <w:endnote w:type="continuationSeparator" w:id="0">
    <w:p w:rsidR="002D6E4D" w:rsidRDefault="002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180F1C10" w:usb2="00000016" w:usb3="00000000" w:csb0="40040001" w:csb1="C0D6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光大标宋_CNKI">
    <w:altName w:val="方正书宋_GBK"/>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0F" w:rsidRDefault="002D6E4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3340F" w:rsidRDefault="002D6E4D">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646E">
                            <w:rPr>
                              <w:rFonts w:ascii="宋体" w:hAnsi="宋体" w:cs="宋体"/>
                              <w:noProof/>
                              <w:sz w:val="28"/>
                              <w:szCs w:val="28"/>
                            </w:rPr>
                            <w:t>- 8 -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13340F" w:rsidRDefault="002D6E4D">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646E">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4D" w:rsidRDefault="002D6E4D">
      <w:r>
        <w:separator/>
      </w:r>
    </w:p>
  </w:footnote>
  <w:footnote w:type="continuationSeparator" w:id="0">
    <w:p w:rsidR="002D6E4D" w:rsidRDefault="002D6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pStyle w:val="51"/>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7E8BA"/>
    <w:rsid w:val="884C65E0"/>
    <w:rsid w:val="8FFB4510"/>
    <w:rsid w:val="9BEF8F5C"/>
    <w:rsid w:val="9FDDB12E"/>
    <w:rsid w:val="CFFD7432"/>
    <w:rsid w:val="D57F74FF"/>
    <w:rsid w:val="DF7AB0E5"/>
    <w:rsid w:val="EFBFD470"/>
    <w:rsid w:val="FBAB13CB"/>
    <w:rsid w:val="FBF1D05B"/>
    <w:rsid w:val="FDBBCC14"/>
    <w:rsid w:val="FE7EE604"/>
    <w:rsid w:val="FFD61747"/>
    <w:rsid w:val="FFFC30F7"/>
    <w:rsid w:val="0000797E"/>
    <w:rsid w:val="00090E63"/>
    <w:rsid w:val="000F4D94"/>
    <w:rsid w:val="000F7B33"/>
    <w:rsid w:val="00100C32"/>
    <w:rsid w:val="0013340F"/>
    <w:rsid w:val="0015017A"/>
    <w:rsid w:val="00160C8C"/>
    <w:rsid w:val="0018637B"/>
    <w:rsid w:val="00191D27"/>
    <w:rsid w:val="00245779"/>
    <w:rsid w:val="002526DA"/>
    <w:rsid w:val="002852DF"/>
    <w:rsid w:val="002D18EC"/>
    <w:rsid w:val="002D6E4D"/>
    <w:rsid w:val="00337028"/>
    <w:rsid w:val="003418B5"/>
    <w:rsid w:val="003959B0"/>
    <w:rsid w:val="00455B32"/>
    <w:rsid w:val="004A1D75"/>
    <w:rsid w:val="0052721F"/>
    <w:rsid w:val="00596D36"/>
    <w:rsid w:val="005A5D06"/>
    <w:rsid w:val="005B00BE"/>
    <w:rsid w:val="006512E0"/>
    <w:rsid w:val="007B5D57"/>
    <w:rsid w:val="00805284"/>
    <w:rsid w:val="008064FC"/>
    <w:rsid w:val="008A464F"/>
    <w:rsid w:val="008F58D8"/>
    <w:rsid w:val="00921351"/>
    <w:rsid w:val="00976A34"/>
    <w:rsid w:val="00977BEF"/>
    <w:rsid w:val="0098625A"/>
    <w:rsid w:val="009B1BFA"/>
    <w:rsid w:val="009B2F53"/>
    <w:rsid w:val="009B59F4"/>
    <w:rsid w:val="00A17263"/>
    <w:rsid w:val="00A97C2E"/>
    <w:rsid w:val="00AC7B8D"/>
    <w:rsid w:val="00B136A2"/>
    <w:rsid w:val="00B155DA"/>
    <w:rsid w:val="00BE646E"/>
    <w:rsid w:val="00BF0DB1"/>
    <w:rsid w:val="00C84396"/>
    <w:rsid w:val="00D6124D"/>
    <w:rsid w:val="00E6257A"/>
    <w:rsid w:val="00E968A9"/>
    <w:rsid w:val="00EA5F2F"/>
    <w:rsid w:val="00EA70EF"/>
    <w:rsid w:val="00EC3C25"/>
    <w:rsid w:val="00EC7F14"/>
    <w:rsid w:val="00ED39F5"/>
    <w:rsid w:val="00EE0F3D"/>
    <w:rsid w:val="00EE4C39"/>
    <w:rsid w:val="00F34913"/>
    <w:rsid w:val="00F67C75"/>
    <w:rsid w:val="00F70A78"/>
    <w:rsid w:val="00F925E5"/>
    <w:rsid w:val="00FA2220"/>
    <w:rsid w:val="00FB6425"/>
    <w:rsid w:val="00FD4BA1"/>
    <w:rsid w:val="27E7E8BA"/>
    <w:rsid w:val="355DDA15"/>
    <w:rsid w:val="39FF003F"/>
    <w:rsid w:val="4E7E96C0"/>
    <w:rsid w:val="6E79ACDC"/>
    <w:rsid w:val="7AE8A933"/>
    <w:rsid w:val="7B3B97FC"/>
    <w:rsid w:val="7F2F7E6C"/>
    <w:rsid w:val="7FFF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Cambria" w:hAnsi="Cambria"/>
      <w:b/>
      <w:bCs/>
    </w:rPr>
  </w:style>
  <w:style w:type="paragraph" w:styleId="3">
    <w:name w:val="heading 3"/>
    <w:basedOn w:val="a"/>
    <w:next w:val="a"/>
    <w:qFormat/>
    <w:pPr>
      <w:keepNext/>
      <w:keepLines/>
      <w:spacing w:before="260" w:after="260" w:line="416" w:lineRule="auto"/>
      <w:jc w:val="left"/>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Body Text"/>
    <w:basedOn w:val="a"/>
    <w:qFormat/>
    <w:pPr>
      <w:spacing w:after="120"/>
    </w:pPr>
  </w:style>
  <w:style w:type="paragraph" w:styleId="a5">
    <w:name w:val="Body Text Indent"/>
    <w:basedOn w:val="a"/>
    <w:next w:val="215"/>
    <w:uiPriority w:val="99"/>
    <w:unhideWhenUsed/>
    <w:qFormat/>
    <w:pPr>
      <w:spacing w:after="120"/>
      <w:ind w:leftChars="200" w:left="420"/>
    </w:pPr>
  </w:style>
  <w:style w:type="paragraph" w:customStyle="1" w:styleId="215">
    <w:name w:val="样式 正文文本缩进 + 首行缩进:  2 字符 行距: 1.5 倍行距"/>
    <w:basedOn w:val="a5"/>
    <w:qFormat/>
    <w:pPr>
      <w:spacing w:before="156"/>
      <w:ind w:left="0" w:firstLine="482"/>
    </w:pPr>
    <w:rPr>
      <w:rFonts w:cs="宋体"/>
      <w:b/>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next w:val="a5"/>
    <w:qFormat/>
    <w:pPr>
      <w:spacing w:line="588" w:lineRule="exact"/>
      <w:ind w:firstLineChars="200" w:firstLine="960"/>
    </w:pPr>
    <w:rPr>
      <w:rFonts w:ascii="Times New Roman" w:eastAsia="方正仿宋_GBK" w:hAnsi="Times New Roman" w:cs="宋体"/>
      <w:sz w:val="32"/>
      <w:szCs w:val="21"/>
    </w:rPr>
  </w:style>
  <w:style w:type="character" w:styleId="a9">
    <w:name w:val="Strong"/>
    <w:basedOn w:val="a0"/>
    <w:qFormat/>
    <w:rPr>
      <w:b/>
    </w:rPr>
  </w:style>
  <w:style w:type="character" w:styleId="aa">
    <w:name w:val="Hyperlink"/>
    <w:basedOn w:val="a0"/>
    <w:qFormat/>
    <w:rPr>
      <w:color w:val="0000FF"/>
      <w:u w:val="single"/>
    </w:rPr>
  </w:style>
  <w:style w:type="paragraph" w:customStyle="1" w:styleId="21">
    <w:name w:val="正文首行缩进 21"/>
    <w:basedOn w:val="10"/>
    <w:next w:val="11"/>
    <w:qFormat/>
    <w:pPr>
      <w:ind w:firstLineChars="200" w:firstLine="420"/>
    </w:pPr>
  </w:style>
  <w:style w:type="paragraph" w:customStyle="1" w:styleId="10">
    <w:name w:val="正文文本缩进1"/>
    <w:basedOn w:val="a"/>
    <w:next w:val="21"/>
    <w:qFormat/>
    <w:pPr>
      <w:spacing w:after="120"/>
      <w:ind w:leftChars="200" w:left="420"/>
    </w:pPr>
  </w:style>
  <w:style w:type="paragraph" w:customStyle="1" w:styleId="11">
    <w:name w:val="纯文本1"/>
    <w:basedOn w:val="a"/>
    <w:next w:val="51"/>
    <w:qFormat/>
    <w:rPr>
      <w:rFonts w:ascii="宋体" w:hAnsi="Courier New"/>
      <w:sz w:val="28"/>
      <w:szCs w:val="20"/>
    </w:rPr>
  </w:style>
  <w:style w:type="paragraph" w:customStyle="1" w:styleId="51">
    <w:name w:val="列表编号 51"/>
    <w:basedOn w:val="a"/>
    <w:qFormat/>
    <w:pPr>
      <w:numPr>
        <w:numId w:val="1"/>
      </w:numPr>
    </w:pPr>
  </w:style>
  <w:style w:type="paragraph" w:customStyle="1" w:styleId="Default">
    <w:name w:val="Default"/>
    <w:qFormat/>
    <w:pPr>
      <w:widowControl w:val="0"/>
      <w:autoSpaceDE w:val="0"/>
      <w:autoSpaceDN w:val="0"/>
      <w:adjustRightInd w:val="0"/>
      <w:spacing w:after="160" w:line="259" w:lineRule="auto"/>
    </w:pPr>
    <w:rPr>
      <w:rFonts w:ascii="方正仿宋_GBK" w:eastAsia="方正仿宋_GBK" w:hAnsi="方正仿宋_GBK" w:hint="eastAsia"/>
      <w:color w:val="000000"/>
      <w:sz w:val="24"/>
      <w:szCs w:val="22"/>
    </w:rPr>
  </w:style>
  <w:style w:type="paragraph" w:customStyle="1" w:styleId="p15">
    <w:name w:val="p15"/>
    <w:basedOn w:val="a"/>
    <w:uiPriority w:val="3"/>
    <w:qFormat/>
    <w:pPr>
      <w:widowControl/>
      <w:ind w:firstLine="420"/>
    </w:pPr>
    <w:rPr>
      <w:rFonts w:hAnsi="仿宋_GB2312" w:cs="仿宋_GB2312"/>
      <w:color w:val="000000"/>
      <w:kern w:val="0"/>
    </w:rPr>
  </w:style>
  <w:style w:type="character" w:customStyle="1" w:styleId="1Char">
    <w:name w:val="标题 1 Char"/>
    <w:basedOn w:val="a0"/>
    <w:link w:val="1"/>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Cambria" w:hAnsi="Cambria"/>
      <w:b/>
      <w:bCs/>
    </w:rPr>
  </w:style>
  <w:style w:type="paragraph" w:styleId="3">
    <w:name w:val="heading 3"/>
    <w:basedOn w:val="a"/>
    <w:next w:val="a"/>
    <w:qFormat/>
    <w:pPr>
      <w:keepNext/>
      <w:keepLines/>
      <w:spacing w:before="260" w:after="260" w:line="416" w:lineRule="auto"/>
      <w:jc w:val="left"/>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Body Text"/>
    <w:basedOn w:val="a"/>
    <w:qFormat/>
    <w:pPr>
      <w:spacing w:after="120"/>
    </w:pPr>
  </w:style>
  <w:style w:type="paragraph" w:styleId="a5">
    <w:name w:val="Body Text Indent"/>
    <w:basedOn w:val="a"/>
    <w:next w:val="215"/>
    <w:uiPriority w:val="99"/>
    <w:unhideWhenUsed/>
    <w:qFormat/>
    <w:pPr>
      <w:spacing w:after="120"/>
      <w:ind w:leftChars="200" w:left="420"/>
    </w:pPr>
  </w:style>
  <w:style w:type="paragraph" w:customStyle="1" w:styleId="215">
    <w:name w:val="样式 正文文本缩进 + 首行缩进:  2 字符 行距: 1.5 倍行距"/>
    <w:basedOn w:val="a5"/>
    <w:qFormat/>
    <w:pPr>
      <w:spacing w:before="156"/>
      <w:ind w:left="0" w:firstLine="482"/>
    </w:pPr>
    <w:rPr>
      <w:rFonts w:cs="宋体"/>
      <w:b/>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next w:val="a5"/>
    <w:qFormat/>
    <w:pPr>
      <w:spacing w:line="588" w:lineRule="exact"/>
      <w:ind w:firstLineChars="200" w:firstLine="960"/>
    </w:pPr>
    <w:rPr>
      <w:rFonts w:ascii="Times New Roman" w:eastAsia="方正仿宋_GBK" w:hAnsi="Times New Roman" w:cs="宋体"/>
      <w:sz w:val="32"/>
      <w:szCs w:val="21"/>
    </w:rPr>
  </w:style>
  <w:style w:type="character" w:styleId="a9">
    <w:name w:val="Strong"/>
    <w:basedOn w:val="a0"/>
    <w:qFormat/>
    <w:rPr>
      <w:b/>
    </w:rPr>
  </w:style>
  <w:style w:type="character" w:styleId="aa">
    <w:name w:val="Hyperlink"/>
    <w:basedOn w:val="a0"/>
    <w:qFormat/>
    <w:rPr>
      <w:color w:val="0000FF"/>
      <w:u w:val="single"/>
    </w:rPr>
  </w:style>
  <w:style w:type="paragraph" w:customStyle="1" w:styleId="21">
    <w:name w:val="正文首行缩进 21"/>
    <w:basedOn w:val="10"/>
    <w:next w:val="11"/>
    <w:qFormat/>
    <w:pPr>
      <w:ind w:firstLineChars="200" w:firstLine="420"/>
    </w:pPr>
  </w:style>
  <w:style w:type="paragraph" w:customStyle="1" w:styleId="10">
    <w:name w:val="正文文本缩进1"/>
    <w:basedOn w:val="a"/>
    <w:next w:val="21"/>
    <w:qFormat/>
    <w:pPr>
      <w:spacing w:after="120"/>
      <w:ind w:leftChars="200" w:left="420"/>
    </w:pPr>
  </w:style>
  <w:style w:type="paragraph" w:customStyle="1" w:styleId="11">
    <w:name w:val="纯文本1"/>
    <w:basedOn w:val="a"/>
    <w:next w:val="51"/>
    <w:qFormat/>
    <w:rPr>
      <w:rFonts w:ascii="宋体" w:hAnsi="Courier New"/>
      <w:sz w:val="28"/>
      <w:szCs w:val="20"/>
    </w:rPr>
  </w:style>
  <w:style w:type="paragraph" w:customStyle="1" w:styleId="51">
    <w:name w:val="列表编号 51"/>
    <w:basedOn w:val="a"/>
    <w:qFormat/>
    <w:pPr>
      <w:numPr>
        <w:numId w:val="1"/>
      </w:numPr>
    </w:pPr>
  </w:style>
  <w:style w:type="paragraph" w:customStyle="1" w:styleId="Default">
    <w:name w:val="Default"/>
    <w:qFormat/>
    <w:pPr>
      <w:widowControl w:val="0"/>
      <w:autoSpaceDE w:val="0"/>
      <w:autoSpaceDN w:val="0"/>
      <w:adjustRightInd w:val="0"/>
      <w:spacing w:after="160" w:line="259" w:lineRule="auto"/>
    </w:pPr>
    <w:rPr>
      <w:rFonts w:ascii="方正仿宋_GBK" w:eastAsia="方正仿宋_GBK" w:hAnsi="方正仿宋_GBK" w:hint="eastAsia"/>
      <w:color w:val="000000"/>
      <w:sz w:val="24"/>
      <w:szCs w:val="22"/>
    </w:rPr>
  </w:style>
  <w:style w:type="paragraph" w:customStyle="1" w:styleId="p15">
    <w:name w:val="p15"/>
    <w:basedOn w:val="a"/>
    <w:uiPriority w:val="3"/>
    <w:qFormat/>
    <w:pPr>
      <w:widowControl/>
      <w:ind w:firstLine="420"/>
    </w:pPr>
    <w:rPr>
      <w:rFonts w:hAnsi="仿宋_GB2312" w:cs="仿宋_GB2312"/>
      <w:color w:val="000000"/>
      <w:kern w:val="0"/>
    </w:r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2464</Characters>
  <Application>Microsoft Office Word</Application>
  <DocSecurity>0</DocSecurity>
  <Lines>20</Lines>
  <Paragraphs>5</Paragraphs>
  <ScaleCrop>false</ScaleCrop>
  <Company>china</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fgw</dc:creator>
  <cp:lastModifiedBy>Administrator</cp:lastModifiedBy>
  <cp:revision>3</cp:revision>
  <dcterms:created xsi:type="dcterms:W3CDTF">2022-08-19T08:35:00Z</dcterms:created>
  <dcterms:modified xsi:type="dcterms:W3CDTF">2024-08-05T04:06:00Z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