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Times New Roman" w:hAnsi="Times New Roman" w:eastAsia="黑体"/>
          <w:bCs/>
          <w:sz w:val="32"/>
          <w:szCs w:val="32"/>
        </w:rPr>
      </w:pPr>
      <w:bookmarkStart w:id="0" w:name="_Hlk166707822"/>
      <w:r>
        <w:rPr>
          <w:rFonts w:hint="eastAsia" w:ascii="Times New Roman" w:hAnsi="Times New Roman" w:eastAsia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关于《新疆维吾尔自治区口岸经济发展</w:t>
      </w: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促进条例（草案）》的说明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为促进全区口岸经济发展，发挥我区口岸开放引领作用，创造口岸经济发展良好的法制环境，经自治区人民政府同意，自治区发展改革委会同相关部门起草了《新疆维吾尔自治区口岸经济发展促进条例</w:t>
      </w:r>
      <w:bookmarkStart w:id="1" w:name="_Hlk111290617"/>
      <w:r>
        <w:rPr>
          <w:rFonts w:hint="eastAsia" w:ascii="Times New Roman" w:hAnsi="Times New Roman" w:eastAsia="仿宋_GB2312"/>
          <w:sz w:val="32"/>
          <w:szCs w:val="32"/>
        </w:rPr>
        <w:t>（草案）</w:t>
      </w:r>
      <w:bookmarkEnd w:id="1"/>
      <w:r>
        <w:rPr>
          <w:rFonts w:hint="eastAsia" w:ascii="Times New Roman" w:hAnsi="Times New Roman" w:eastAsia="仿宋_GB2312"/>
          <w:sz w:val="32"/>
          <w:szCs w:val="32"/>
        </w:rPr>
        <w:t>》（以下简称《条例（草案）》），现作如下说明：</w:t>
      </w:r>
    </w:p>
    <w:p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一、制定《条例》必要性</w:t>
      </w:r>
    </w:p>
    <w:p>
      <w:pPr>
        <w:widowControl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我区口岸区位优势</w:t>
      </w:r>
      <w:r>
        <w:rPr>
          <w:rFonts w:hint="default" w:eastAsia="仿宋_GB2312" w:cs="Times New Roman"/>
          <w:color w:val="auto"/>
          <w:sz w:val="32"/>
          <w:szCs w:val="32"/>
        </w:rPr>
        <w:t>明显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，口岸经济呈现蓬勃发展的局面，取得了丰硕成果。但是，随着国际形势变化，国家整体经济战略调整，我区口岸在法治环境方面瓶颈凸现，严重制约口岸经济进一步发展。目前我区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口岸经济带发展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立法滞后于法治现代化的要求，补齐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口岸经济带发展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立法短板弱项，是深入贯彻习近平法治思想，全面深化依法治疆，扎实推进新疆政法工作现代化的重要体现。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在此背景下，制定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、颁布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《新疆维吾尔自治区口岸经济发展促进条例》，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为发展口岸经济提供法制保障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有利于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完整准确贯彻新时代党的治疆方略、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打造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亚欧黄金通道和向西开放的桥头堡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有利于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更好地发挥我区口岸等开放资源，推动丝绸之路经济带核心区高质量发展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有利于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更好地利用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国际国内两个市场、两种资源，积极服务和融入新发展格局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有利于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营造良好的营商环境，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 PS Pro" w:hAnsi="Times New Roman PS Pro" w:eastAsia="仿宋_GB2312" w:cs="Times New Roman PS Pro"/>
          <w:sz w:val="32"/>
          <w:szCs w:val="32"/>
        </w:rPr>
        <w:t>口岸经济</w:t>
      </w:r>
      <w:r>
        <w:rPr>
          <w:rFonts w:hint="eastAsia" w:ascii="Times New Roman PS Pro" w:hAnsi="Times New Roman PS Pro" w:eastAsia="仿宋_GB2312" w:cs="Times New Roman PS Pro"/>
          <w:sz w:val="32"/>
          <w:szCs w:val="32"/>
          <w:lang w:eastAsia="zh-CN"/>
        </w:rPr>
        <w:t>的高质量</w:t>
      </w:r>
      <w:r>
        <w:rPr>
          <w:rFonts w:hint="default" w:ascii="Times New Roman PS Pro" w:hAnsi="Times New Roman PS Pro" w:eastAsia="仿宋_GB2312" w:cs="Times New Roman PS Pro"/>
          <w:sz w:val="32"/>
          <w:szCs w:val="32"/>
        </w:rPr>
        <w:t>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，推动</w:t>
      </w:r>
      <w:r>
        <w:rPr>
          <w:rFonts w:hint="eastAsia" w:ascii="Times New Roman" w:hAnsi="Times New Roman" w:eastAsia="仿宋_GB2312" w:cs="Times New Roman PS Pro"/>
          <w:sz w:val="32"/>
          <w:szCs w:val="32"/>
          <w:lang w:val="en-US" w:eastAsia="zh-CN"/>
        </w:rPr>
        <w:t>丝绸之路经济带核心区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高质量建设。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二、《条例（草案）》的主要内容</w:t>
      </w:r>
      <w:r>
        <w:rPr>
          <w:rFonts w:hint="eastAsia" w:ascii="Times New Roman" w:hAnsi="Times New Roman" w:eastAsia="仿宋_GB2312"/>
          <w:sz w:val="32"/>
          <w:szCs w:val="32"/>
        </w:rPr>
        <w:t>　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《条例（草案）》共三十二条，主要包括总则、规划建设、产业发展、营商环境、法律责任等五方面的内容。主要内容如下：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（一）关于口岸的定义和条例的适用范围。</w:t>
      </w:r>
      <w:r>
        <w:rPr>
          <w:rFonts w:hint="eastAsia" w:ascii="Times New Roman" w:hAnsi="Times New Roman" w:eastAsia="仿宋_GB2312"/>
          <w:sz w:val="32"/>
          <w:szCs w:val="32"/>
        </w:rPr>
        <w:t>在借鉴现有法律法规、国务院和有关部委文件及其他省市立法经验的基础上，明确了口岸定义，将口岸定义为供人员、货物、物品和交通工具直接出入国(关、边)境的港口、机场、车站、跨境通道等。条例的适用范围是在自治区行政区域范围内，以各类口岸为载体，通过人流、物流、资金流、信息流等经济元素，促进口岸经济发展有关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（二）关于基本原则。</w:t>
      </w:r>
      <w:r>
        <w:rPr>
          <w:rFonts w:hint="eastAsia" w:ascii="Times New Roman" w:hAnsi="Times New Roman" w:eastAsia="仿宋_GB2312"/>
          <w:sz w:val="32"/>
          <w:szCs w:val="32"/>
        </w:rPr>
        <w:t>根据国家口岸发展规划，明确促进口岸发展应当遵循服务大局，效益优先，协同发展，规范管理的原则。通过坚持这些原则，可以推动口岸经济高质量发展，实现平安、效能、智慧、法治、绿色口岸建设，深化与“一带一路”沿线国家以及国内各省区市的合作交流，为国家和地区的经济发展做出积极贡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（三）关于各级人民政府以及驻疆部门职责。</w:t>
      </w:r>
      <w:r>
        <w:rPr>
          <w:rFonts w:hint="eastAsia" w:ascii="Times New Roman" w:hAnsi="Times New Roman" w:eastAsia="仿宋_GB2312"/>
          <w:sz w:val="32"/>
          <w:szCs w:val="32"/>
        </w:rPr>
        <w:t>结合中央、国务院对口岸管理的要求，人民政府承担辖区内口岸经济发展促进主体责任，明确主管单位及职能分工；驻疆有关部门依法履行职责，协同落实口岸经济发展有关工作，共同保证口岸的平稳运行。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（四）关于决策咨询及激励。</w:t>
      </w:r>
      <w:r>
        <w:rPr>
          <w:rFonts w:hint="eastAsia" w:ascii="Times New Roman" w:hAnsi="Times New Roman" w:eastAsia="仿宋_GB2312"/>
          <w:sz w:val="32"/>
          <w:szCs w:val="32"/>
        </w:rPr>
        <w:t>口岸在发展过程中要不断参与和高校、智库、研究机构的交流合作，提高决策科学化。同时采取激励措施鼓励重大贡献和创新。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（五）关于口岸经济发展规划建设。</w:t>
      </w:r>
      <w:r>
        <w:rPr>
          <w:rFonts w:hint="eastAsia" w:ascii="Times New Roman" w:hAnsi="Times New Roman" w:eastAsia="仿宋_GB2312"/>
          <w:sz w:val="32"/>
          <w:szCs w:val="32"/>
        </w:rPr>
        <w:t>一是各级人民政府将口岸经济发展纳入规划，实现口岸和地方经济协同发展；二是结合口岸环境实际情况，保障用地规模；三是各级人民政府应当根据国民经济发展总体规划编制专项规划；四是完善口岸基础设施建设，支撑口岸及沿边地区经济高质量发展；五是保障财政支持，鼓励社会资本参与口岸设施建设和口岸经济发展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（六）关于口岸产业发展的支持。</w:t>
      </w:r>
      <w:r>
        <w:rPr>
          <w:rFonts w:hint="eastAsia" w:ascii="Times New Roman" w:hAnsi="Times New Roman" w:eastAsia="仿宋_GB2312"/>
          <w:sz w:val="32"/>
          <w:szCs w:val="32"/>
        </w:rPr>
        <w:t xml:space="preserve">一是优化口岸产业布局，推动协同发展，完善产业体系，促进口岸产业高效、多元化发展；二是发挥地方人民政府积极性，依法依规制定及使用优惠产业政策，吸引企业投资，加强招商引资；三是鼓励金融机构创新，拓宽企业融资渠道；四是发挥开发开放平台作用，实现和口岸经济协同发展；五是加强对内对外交流合作，促进口岸经济的高质量发展；六是发挥驻外机构及社会团体作用，开展多方面交流合作；七是制定人才政策，吸引人才到口岸地区创新创业。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（七）关于口岸经济营商环境优化。</w:t>
      </w:r>
      <w:r>
        <w:rPr>
          <w:rFonts w:hint="eastAsia" w:ascii="Times New Roman" w:hAnsi="Times New Roman" w:eastAsia="仿宋_GB2312"/>
          <w:sz w:val="32"/>
          <w:szCs w:val="32"/>
        </w:rPr>
        <w:t>为构建良好的口岸经济营商环境，对营商环境进行优化：一是落实外商投资准入前国民待遇加负面清单制度，为境外投资者投资提供便利，吸引外商投资；二是加强与周边国家交流合作会谈，推进经营者互认及共同执法；三是优化边民互市监管，推进建设边民互市智能化，信息化平台，让利于边民；四是简化程序，实现高效审批时效；五是优化通关流程，实现快速查验，提升通关便利化；六是推动实现口岸管理资源共享，推广单一窗口，提升跨境贸易便利化水平。七是要提高公共服务保障水平，做好配套设施建设；八是保障口岸经营主体权益，构建清亲政商关系；九是保护经营主体合法权益，确保经营主体不增加其他社会负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（八）关于法律责任。</w:t>
      </w:r>
      <w:r>
        <w:rPr>
          <w:rFonts w:hint="eastAsia" w:ascii="Times New Roman" w:hAnsi="Times New Roman" w:eastAsia="仿宋_GB2312"/>
          <w:sz w:val="32"/>
          <w:szCs w:val="32"/>
        </w:rPr>
        <w:t xml:space="preserve">为了保障口岸经济的发展，规定了行政人员在违反本条例的行为，明确了相应的处罚措施。此外，对法律、行政法规已有规定的作出了衔接性的规定。 </w:t>
      </w:r>
    </w:p>
    <w:p>
      <w:pPr>
        <w:spacing w:line="560" w:lineRule="exact"/>
        <w:ind w:firstLine="640" w:firstLineChars="200"/>
        <w:outlineLvl w:val="0"/>
        <w:rPr>
          <w:rFonts w:hint="eastAsia"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三、其他说明事项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国家尚未出台有关促进口岸经济发展方面的法律或行政法规，国务院口岸主管部门希望地方先行先试，为国家立法积累经验。目前，已有3个省市、1个自治州出台了口岸管理服务的地方性法规。</w:t>
      </w:r>
      <w:bookmarkEnd w:id="0"/>
    </w:p>
    <w:sectPr>
      <w:footerReference r:id="rId3" w:type="default"/>
      <w:pgSz w:w="11906" w:h="16838"/>
      <w:pgMar w:top="2120" w:right="1531" w:bottom="1417" w:left="1531" w:header="851" w:footer="992" w:gutter="0"/>
      <w:pgNumType w:fmt="numberInDash"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80000283" w:usb1="180F1C10" w:usb2="00000016" w:usb3="00000000" w:csb0="40040001" w:csb1="C0D6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00000283" w:usb1="180F1C10" w:usb2="00000016" w:usb3="00000000" w:csb0="40040001" w:csb1="C0D6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仿宋_GBK">
    <w:panose1 w:val="02000000000000000000"/>
    <w:charset w:val="86"/>
    <w:family w:val="script"/>
    <w:pitch w:val="default"/>
    <w:sig w:usb0="00000283" w:usb1="180F1C10" w:usb2="00000016" w:usb3="00000000" w:csb0="40040001" w:csb1="C0D6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283" w:usb1="180F1C10" w:usb2="00000016" w:usb3="00000000" w:csb0="40040001" w:csb1="C0D6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2" w:name="_GoBack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2"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pStyle w:val="2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7E8BA"/>
    <w:rsid w:val="0000797E"/>
    <w:rsid w:val="00090E63"/>
    <w:rsid w:val="000F4D94"/>
    <w:rsid w:val="000F7B33"/>
    <w:rsid w:val="00100C32"/>
    <w:rsid w:val="0015017A"/>
    <w:rsid w:val="00160C8C"/>
    <w:rsid w:val="0018637B"/>
    <w:rsid w:val="00191D27"/>
    <w:rsid w:val="00245779"/>
    <w:rsid w:val="002526DA"/>
    <w:rsid w:val="002852DF"/>
    <w:rsid w:val="002D18EC"/>
    <w:rsid w:val="00337028"/>
    <w:rsid w:val="003418B5"/>
    <w:rsid w:val="003959B0"/>
    <w:rsid w:val="00455B32"/>
    <w:rsid w:val="004A1D75"/>
    <w:rsid w:val="0052721F"/>
    <w:rsid w:val="00596D36"/>
    <w:rsid w:val="005A5D06"/>
    <w:rsid w:val="005B00BE"/>
    <w:rsid w:val="006512E0"/>
    <w:rsid w:val="007B5D57"/>
    <w:rsid w:val="00805284"/>
    <w:rsid w:val="008064FC"/>
    <w:rsid w:val="008A464F"/>
    <w:rsid w:val="008F58D8"/>
    <w:rsid w:val="00921351"/>
    <w:rsid w:val="00976A34"/>
    <w:rsid w:val="00977BEF"/>
    <w:rsid w:val="0098625A"/>
    <w:rsid w:val="009B1BFA"/>
    <w:rsid w:val="009B2F53"/>
    <w:rsid w:val="009B59F4"/>
    <w:rsid w:val="00A17263"/>
    <w:rsid w:val="00A97C2E"/>
    <w:rsid w:val="00AC7B8D"/>
    <w:rsid w:val="00B136A2"/>
    <w:rsid w:val="00B155DA"/>
    <w:rsid w:val="00BF0DB1"/>
    <w:rsid w:val="00C84396"/>
    <w:rsid w:val="00D6124D"/>
    <w:rsid w:val="00E6257A"/>
    <w:rsid w:val="00E968A9"/>
    <w:rsid w:val="00EA5F2F"/>
    <w:rsid w:val="00EA70EF"/>
    <w:rsid w:val="00EC3C25"/>
    <w:rsid w:val="00EC7F14"/>
    <w:rsid w:val="00ED39F5"/>
    <w:rsid w:val="00EE0F3D"/>
    <w:rsid w:val="00EE4C39"/>
    <w:rsid w:val="00F34913"/>
    <w:rsid w:val="00F67C75"/>
    <w:rsid w:val="00F70A78"/>
    <w:rsid w:val="00F925E5"/>
    <w:rsid w:val="00FA2220"/>
    <w:rsid w:val="00FB6425"/>
    <w:rsid w:val="00FD4BA1"/>
    <w:rsid w:val="27E7E8BA"/>
    <w:rsid w:val="27FF8FFC"/>
    <w:rsid w:val="355DDA15"/>
    <w:rsid w:val="4E7E96C0"/>
    <w:rsid w:val="6E79ACDC"/>
    <w:rsid w:val="7AE8A933"/>
    <w:rsid w:val="7B3B97FC"/>
    <w:rsid w:val="7F2F7E6C"/>
    <w:rsid w:val="7FFF2B0D"/>
    <w:rsid w:val="7FFFE9F3"/>
    <w:rsid w:val="884C65E0"/>
    <w:rsid w:val="8FFB4510"/>
    <w:rsid w:val="9FDDB12E"/>
    <w:rsid w:val="AFF76608"/>
    <w:rsid w:val="CFFD7432"/>
    <w:rsid w:val="D57F74FF"/>
    <w:rsid w:val="DF7AB0E5"/>
    <w:rsid w:val="EF1B1028"/>
    <w:rsid w:val="EFBFD470"/>
    <w:rsid w:val="FBAB13CB"/>
    <w:rsid w:val="FBF1D05B"/>
    <w:rsid w:val="FDBBCC14"/>
    <w:rsid w:val="FE7EE604"/>
    <w:rsid w:val="FFD61747"/>
    <w:rsid w:val="FF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customStyle="1" w:styleId="8">
    <w:name w:val="样式 正文文本缩进 + 首行缩进:  2 字符 行距: 1.5 倍行距"/>
    <w:basedOn w:val="7"/>
    <w:qFormat/>
    <w:uiPriority w:val="0"/>
    <w:pPr>
      <w:spacing w:before="156"/>
      <w:ind w:left="0" w:firstLine="482"/>
    </w:pPr>
    <w:rPr>
      <w:rFonts w:cs="宋体"/>
      <w:b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7"/>
    <w:next w:val="7"/>
    <w:qFormat/>
    <w:uiPriority w:val="0"/>
    <w:pPr>
      <w:spacing w:line="588" w:lineRule="exact"/>
      <w:ind w:firstLine="960" w:firstLineChars="200"/>
    </w:pPr>
    <w:rPr>
      <w:rFonts w:ascii="Times New Roman" w:hAnsi="Times New Roman" w:eastAsia="方正仿宋_GBK" w:cs="宋体"/>
      <w:sz w:val="32"/>
      <w:szCs w:val="21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正文首行缩进 21"/>
    <w:basedOn w:val="18"/>
    <w:next w:val="19"/>
    <w:qFormat/>
    <w:uiPriority w:val="0"/>
    <w:pPr>
      <w:ind w:firstLine="420" w:firstLineChars="200"/>
    </w:pPr>
  </w:style>
  <w:style w:type="paragraph" w:customStyle="1" w:styleId="18">
    <w:name w:val="正文文本缩进1"/>
    <w:basedOn w:val="1"/>
    <w:next w:val="17"/>
    <w:qFormat/>
    <w:uiPriority w:val="0"/>
    <w:pPr>
      <w:spacing w:after="120"/>
      <w:ind w:left="420" w:leftChars="200"/>
    </w:pPr>
  </w:style>
  <w:style w:type="paragraph" w:customStyle="1" w:styleId="19">
    <w:name w:val="纯文本1"/>
    <w:basedOn w:val="1"/>
    <w:next w:val="20"/>
    <w:qFormat/>
    <w:uiPriority w:val="0"/>
    <w:rPr>
      <w:rFonts w:ascii="宋体" w:hAnsi="Courier New"/>
      <w:sz w:val="28"/>
      <w:szCs w:val="20"/>
    </w:rPr>
  </w:style>
  <w:style w:type="paragraph" w:customStyle="1" w:styleId="20">
    <w:name w:val="列表编号 51"/>
    <w:basedOn w:val="1"/>
    <w:qFormat/>
    <w:uiPriority w:val="0"/>
    <w:pPr>
      <w:numPr>
        <w:ilvl w:val="0"/>
        <w:numId w:val="1"/>
      </w:numPr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22">
    <w:name w:val="p15"/>
    <w:basedOn w:val="1"/>
    <w:qFormat/>
    <w:uiPriority w:val="3"/>
    <w:pPr>
      <w:widowControl/>
      <w:ind w:firstLine="420"/>
    </w:pPr>
    <w:rPr>
      <w:rFonts w:hAnsi="仿宋_GB2312" w:cs="仿宋_GB2312"/>
      <w:color w:val="000000"/>
      <w:kern w:val="0"/>
    </w:rPr>
  </w:style>
  <w:style w:type="character" w:customStyle="1" w:styleId="23">
    <w:name w:val="标题 1 字符"/>
    <w:basedOn w:val="14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811</Words>
  <Characters>4628</Characters>
  <Lines>38</Lines>
  <Paragraphs>10</Paragraphs>
  <TotalTime>2</TotalTime>
  <ScaleCrop>false</ScaleCrop>
  <LinksUpToDate>false</LinksUpToDate>
  <CharactersWithSpaces>5429</CharactersWithSpaces>
  <Application>WPS Office WWO_wpscloud_20230620212302-8fa233b272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2022-08-19T00:35:00Z</dcterms:created>
  <dc:creator>fgw</dc:creator>
  <cp:lastModifiedBy>fgw</cp:lastModifiedBy>
  <dcterms:modified xsi:type="dcterms:W3CDTF">2024-05-18T18:03:37Z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