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hAnsi="方正小标宋_GBK" w:eastAsia="方正小标宋_GBK" w:cs="方正小标宋_GBK"/>
          <w:b w:val="0"/>
          <w:bCs w:val="0"/>
          <w:color w:val="auto"/>
          <w:sz w:val="44"/>
          <w:szCs w:val="44"/>
          <w:highlight w:val="none"/>
          <w:u w:val="none"/>
          <w:shd w:val="clear" w:color="auto" w:fill="auto"/>
        </w:rPr>
      </w:pPr>
      <w:r>
        <w:rPr>
          <w:rFonts w:hint="eastAsia" w:ascii="方正小标宋_GBK" w:hAnsi="方正小标宋_GBK" w:eastAsia="方正小标宋_GBK" w:cs="方正小标宋_GBK"/>
          <w:b w:val="0"/>
          <w:bCs w:val="0"/>
          <w:color w:val="auto"/>
          <w:sz w:val="44"/>
          <w:szCs w:val="44"/>
          <w:highlight w:val="none"/>
        </w:rPr>
        <w:t>新疆维吾尔自治区政府投资</w:t>
      </w:r>
      <w:r>
        <w:rPr>
          <w:rFonts w:hint="eastAsia" w:ascii="方正小标宋_GBK" w:hAnsi="方正小标宋_GBK" w:eastAsia="方正小标宋_GBK" w:cs="方正小标宋_GBK"/>
          <w:b w:val="0"/>
          <w:bCs w:val="0"/>
          <w:color w:val="auto"/>
          <w:sz w:val="44"/>
          <w:szCs w:val="44"/>
          <w:highlight w:val="none"/>
          <w:lang w:eastAsia="zh-CN"/>
        </w:rPr>
        <w:t>管理办法</w:t>
      </w:r>
    </w:p>
    <w:p>
      <w:pPr>
        <w:keepNext w:val="0"/>
        <w:keepLines w:val="0"/>
        <w:pageBreakBefore w:val="0"/>
        <w:kinsoku/>
        <w:wordWrap/>
        <w:overflowPunct/>
        <w:topLinePunct w:val="0"/>
        <w:autoSpaceDE/>
        <w:autoSpaceDN/>
        <w:bidi w:val="0"/>
        <w:adjustRightInd/>
        <w:snapToGrid/>
        <w:spacing w:line="240" w:lineRule="auto"/>
        <w:ind w:firstLine="800" w:firstLineChars="200"/>
        <w:jc w:val="center"/>
        <w:textAlignment w:val="auto"/>
        <w:rPr>
          <w:rFonts w:hint="eastAsia" w:ascii="方正小标宋_GBK" w:hAnsi="方正小标宋_GBK" w:eastAsia="方正小标宋_GBK" w:cs="方正小标宋_GBK"/>
          <w:b w:val="0"/>
          <w:bCs w:val="0"/>
          <w:color w:val="auto"/>
          <w:sz w:val="40"/>
          <w:szCs w:val="40"/>
          <w:highlight w:val="none"/>
          <w:u w:val="none"/>
          <w:shd w:val="clear" w:color="auto" w:fill="auto"/>
        </w:rPr>
      </w:pPr>
      <w:r>
        <w:rPr>
          <w:rFonts w:hint="eastAsia" w:ascii="方正小标宋_GBK" w:hAnsi="方正小标宋_GBK" w:eastAsia="方正小标宋_GBK" w:cs="方正小标宋_GBK"/>
          <w:b w:val="0"/>
          <w:bCs w:val="0"/>
          <w:color w:val="auto"/>
          <w:sz w:val="40"/>
          <w:szCs w:val="40"/>
          <w:highlight w:val="none"/>
          <w:u w:val="none"/>
          <w:shd w:val="clear" w:color="auto" w:fill="auto"/>
          <w:lang w:eastAsia="zh-CN"/>
        </w:rPr>
        <w:t>（征求意见稿）</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PS Pro" w:hAnsi="Times New Roman PS Pro" w:eastAsia="仿宋_GB2312" w:cs="Times New Roman PS Pro"/>
          <w:b w:val="0"/>
          <w:bCs w:val="0"/>
          <w:color w:val="auto"/>
          <w:sz w:val="32"/>
          <w:szCs w:val="32"/>
          <w:highlight w:val="none"/>
          <w:u w:val="none"/>
          <w:shd w:val="clear" w:color="auto" w:fill="auto"/>
        </w:rPr>
      </w:pP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PS Pro" w:hAnsi="Times New Roman PS Pro" w:eastAsia="黑体" w:cs="Times New Roman PS Pro"/>
          <w:b w:val="0"/>
          <w:bCs w:val="0"/>
          <w:color w:val="auto"/>
          <w:sz w:val="32"/>
          <w:szCs w:val="32"/>
          <w:highlight w:val="none"/>
          <w:u w:val="none"/>
          <w:shd w:val="clear" w:color="auto" w:fill="auto"/>
        </w:rPr>
      </w:pPr>
      <w:r>
        <w:rPr>
          <w:rFonts w:hint="default" w:ascii="Times New Roman PS Pro" w:hAnsi="Times New Roman PS Pro" w:eastAsia="黑体" w:cs="Times New Roman PS Pro"/>
          <w:b w:val="0"/>
          <w:bCs w:val="0"/>
          <w:color w:val="auto"/>
          <w:sz w:val="32"/>
          <w:szCs w:val="32"/>
          <w:highlight w:val="none"/>
          <w:u w:val="none"/>
          <w:shd w:val="clear" w:color="auto" w:fill="auto"/>
        </w:rPr>
        <w:t>第一章  总 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PS Pro" w:hAnsi="Times New Roman PS Pro" w:eastAsia="仿宋_GB2312" w:cs="Times New Roman PS Pro"/>
          <w:b w:val="0"/>
          <w:bCs w:val="0"/>
          <w:color w:val="auto"/>
          <w:sz w:val="32"/>
          <w:szCs w:val="32"/>
          <w:highlight w:val="none"/>
          <w:u w:val="none"/>
          <w:shd w:val="clear" w:color="auto" w:fill="auto"/>
          <w:lang w:val="en-US" w:eastAsia="zh-CN"/>
        </w:rPr>
      </w:pPr>
      <w:r>
        <w:rPr>
          <w:rFonts w:hint="default" w:ascii="Times New Roman PS Pro" w:hAnsi="Times New Roman PS Pro" w:eastAsia="仿宋_GB2312" w:cs="Times New Roman PS Pro"/>
          <w:b w:val="0"/>
          <w:bCs w:val="0"/>
          <w:color w:val="auto"/>
          <w:sz w:val="32"/>
          <w:szCs w:val="32"/>
          <w:highlight w:val="none"/>
          <w:u w:val="none"/>
          <w:shd w:val="clear" w:color="auto" w:fill="auto"/>
        </w:rPr>
        <w:t>第一条</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立法目的</w:t>
      </w:r>
      <w:r>
        <w:rPr>
          <w:rFonts w:hint="eastAsia" w:ascii="仿宋_GB2312" w:hAnsi="仿宋_GB2312" w:eastAsia="仿宋_GB2312" w:cs="仿宋_GB2312"/>
          <w:b w:val="0"/>
          <w:bCs w:val="0"/>
          <w:color w:val="auto"/>
          <w:sz w:val="32"/>
          <w:szCs w:val="32"/>
          <w:highlight w:val="none"/>
          <w:lang w:val="en-US" w:eastAsia="zh-CN"/>
        </w:rPr>
        <w:t>和立法依据】</w:t>
      </w:r>
      <w:r>
        <w:rPr>
          <w:rFonts w:hint="default" w:ascii="Times New Roman PS Pro" w:hAnsi="Times New Roman PS Pro" w:eastAsia="仿宋_GB2312" w:cs="Times New Roman PS Pro"/>
          <w:b w:val="0"/>
          <w:bCs w:val="0"/>
          <w:color w:val="auto"/>
          <w:sz w:val="32"/>
          <w:szCs w:val="32"/>
          <w:highlight w:val="none"/>
          <w:u w:val="none"/>
          <w:shd w:val="clear" w:color="auto" w:fill="auto"/>
        </w:rPr>
        <w:t xml:space="preserve"> 为充分发挥政府投资作用，提高政府投资效益，规范政府投资行为，加强政府投资管理，激发社会投资活力，促进经济社会</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高质量</w:t>
      </w:r>
      <w:r>
        <w:rPr>
          <w:rFonts w:hint="default" w:ascii="Times New Roman PS Pro" w:hAnsi="Times New Roman PS Pro" w:eastAsia="仿宋_GB2312" w:cs="Times New Roman PS Pro"/>
          <w:b w:val="0"/>
          <w:bCs w:val="0"/>
          <w:color w:val="auto"/>
          <w:sz w:val="32"/>
          <w:szCs w:val="32"/>
          <w:highlight w:val="none"/>
          <w:u w:val="none"/>
          <w:shd w:val="clear" w:color="auto" w:fill="auto"/>
        </w:rPr>
        <w:t>发展，根据《政府投资</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条例</w:t>
      </w:r>
      <w:r>
        <w:rPr>
          <w:rFonts w:hint="default" w:ascii="Times New Roman PS Pro" w:hAnsi="Times New Roman PS Pro" w:eastAsia="仿宋_GB2312" w:cs="Times New Roman PS Pro"/>
          <w:b w:val="0"/>
          <w:bCs w:val="0"/>
          <w:color w:val="auto"/>
          <w:sz w:val="32"/>
          <w:szCs w:val="32"/>
          <w:highlight w:val="none"/>
          <w:u w:val="none"/>
          <w:shd w:val="clear" w:color="auto" w:fill="auto"/>
        </w:rPr>
        <w:t>》，结合</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自治区</w:t>
      </w:r>
      <w:r>
        <w:rPr>
          <w:rFonts w:hint="default" w:ascii="Times New Roman PS Pro" w:hAnsi="Times New Roman PS Pro" w:eastAsia="仿宋_GB2312" w:cs="Times New Roman PS Pro"/>
          <w:b w:val="0"/>
          <w:bCs w:val="0"/>
          <w:color w:val="auto"/>
          <w:sz w:val="32"/>
          <w:szCs w:val="32"/>
          <w:highlight w:val="none"/>
          <w:u w:val="none"/>
          <w:shd w:val="clear" w:color="auto" w:fill="auto"/>
        </w:rPr>
        <w:t>实际，制定本</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办法</w:t>
      </w:r>
      <w:r>
        <w:rPr>
          <w:rFonts w:hint="default" w:ascii="Times New Roman PS Pro" w:hAnsi="Times New Roman PS Pro" w:eastAsia="仿宋_GB2312" w:cs="Times New Roman PS Pro"/>
          <w:b w:val="0"/>
          <w:bCs w:val="0"/>
          <w:color w:val="auto"/>
          <w:sz w:val="32"/>
          <w:szCs w:val="32"/>
          <w:highlight w:val="none"/>
          <w:u w:val="none"/>
          <w:shd w:val="clear" w:color="auto" w:fill="auto"/>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PS Pro" w:hAnsi="Times New Roman PS Pro" w:eastAsia="仿宋_GB2312" w:cs="Times New Roman PS Pro"/>
          <w:b w:val="0"/>
          <w:bCs w:val="0"/>
          <w:color w:val="auto"/>
          <w:sz w:val="32"/>
          <w:szCs w:val="32"/>
          <w:highlight w:val="none"/>
          <w:u w:val="none"/>
          <w:shd w:val="clear" w:color="auto" w:fill="auto"/>
        </w:rPr>
      </w:pPr>
      <w:r>
        <w:rPr>
          <w:rFonts w:hint="default" w:ascii="Times New Roman PS Pro" w:hAnsi="Times New Roman PS Pro" w:eastAsia="仿宋_GB2312" w:cs="Times New Roman PS Pro"/>
          <w:b w:val="0"/>
          <w:bCs w:val="0"/>
          <w:color w:val="auto"/>
          <w:sz w:val="32"/>
          <w:szCs w:val="32"/>
          <w:highlight w:val="none"/>
          <w:u w:val="none"/>
          <w:shd w:val="clear" w:color="auto" w:fill="auto"/>
        </w:rPr>
        <w:t>第二条</w:t>
      </w:r>
      <w:r>
        <w:rPr>
          <w:rFonts w:hint="eastAsia" w:ascii="仿宋_GB2312" w:hAnsi="仿宋_GB2312" w:eastAsia="仿宋_GB2312" w:cs="仿宋_GB2312"/>
          <w:b w:val="0"/>
          <w:bCs w:val="0"/>
          <w:color w:val="auto"/>
          <w:sz w:val="32"/>
          <w:szCs w:val="32"/>
          <w:highlight w:val="none"/>
          <w:lang w:val="en-US" w:eastAsia="zh-CN"/>
        </w:rPr>
        <w:t>【政府投资定义】</w:t>
      </w:r>
      <w:r>
        <w:rPr>
          <w:rFonts w:hint="default" w:ascii="Times New Roman PS Pro" w:hAnsi="Times New Roman PS Pro" w:eastAsia="仿宋_GB2312" w:cs="Times New Roman PS Pro"/>
          <w:b w:val="0"/>
          <w:bCs w:val="0"/>
          <w:color w:val="auto"/>
          <w:sz w:val="32"/>
          <w:szCs w:val="32"/>
          <w:highlight w:val="none"/>
          <w:u w:val="none"/>
          <w:shd w:val="clear" w:color="auto" w:fill="auto"/>
        </w:rPr>
        <w:t xml:space="preserve"> 本</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办法</w:t>
      </w:r>
      <w:r>
        <w:rPr>
          <w:rFonts w:hint="default" w:ascii="Times New Roman PS Pro" w:hAnsi="Times New Roman PS Pro" w:eastAsia="仿宋_GB2312" w:cs="Times New Roman PS Pro"/>
          <w:b w:val="0"/>
          <w:bCs w:val="0"/>
          <w:color w:val="auto"/>
          <w:sz w:val="32"/>
          <w:szCs w:val="32"/>
          <w:highlight w:val="none"/>
          <w:u w:val="none"/>
          <w:shd w:val="clear" w:color="auto" w:fill="auto"/>
        </w:rPr>
        <w:t>所称政府投资，是指在</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自治区</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行政区域内</w:t>
      </w:r>
      <w:r>
        <w:rPr>
          <w:rFonts w:hint="default" w:ascii="Times New Roman PS Pro" w:hAnsi="Times New Roman PS Pro" w:eastAsia="仿宋_GB2312" w:cs="Times New Roman PS Pro"/>
          <w:b w:val="0"/>
          <w:bCs w:val="0"/>
          <w:color w:val="auto"/>
          <w:sz w:val="32"/>
          <w:szCs w:val="32"/>
          <w:highlight w:val="none"/>
          <w:u w:val="none"/>
          <w:shd w:val="clear" w:color="auto" w:fill="auto"/>
        </w:rPr>
        <w:t>使用预算安排的资金进行固定资产投资建设活动，包括新建、扩建、改建、技术改造等。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PS Pro" w:hAnsi="Times New Roman PS Pro" w:eastAsia="仿宋_GB2312" w:cs="Times New Roman PS Pro"/>
          <w:b w:val="0"/>
          <w:bCs w:val="0"/>
          <w:color w:val="auto"/>
          <w:sz w:val="32"/>
          <w:szCs w:val="32"/>
          <w:highlight w:val="none"/>
          <w:u w:val="none"/>
          <w:shd w:val="clear" w:color="auto" w:fill="auto"/>
        </w:rPr>
      </w:pPr>
      <w:r>
        <w:rPr>
          <w:rFonts w:hint="default" w:ascii="Times New Roman PS Pro" w:hAnsi="Times New Roman PS Pro" w:eastAsia="仿宋_GB2312" w:cs="Times New Roman PS Pro"/>
          <w:b w:val="0"/>
          <w:bCs w:val="0"/>
          <w:color w:val="auto"/>
          <w:sz w:val="32"/>
          <w:szCs w:val="32"/>
          <w:highlight w:val="none"/>
          <w:u w:val="none"/>
          <w:shd w:val="clear" w:color="auto" w:fill="auto"/>
        </w:rPr>
        <w:t>第三条</w:t>
      </w:r>
      <w:r>
        <w:rPr>
          <w:rFonts w:hint="eastAsia" w:ascii="仿宋_GB2312" w:hAnsi="仿宋_GB2312" w:eastAsia="仿宋_GB2312" w:cs="仿宋_GB2312"/>
          <w:b w:val="0"/>
          <w:bCs w:val="0"/>
          <w:color w:val="auto"/>
          <w:sz w:val="32"/>
          <w:szCs w:val="32"/>
          <w:highlight w:val="none"/>
          <w:lang w:val="en-US" w:eastAsia="zh-CN"/>
        </w:rPr>
        <w:t>【政府投资范围】</w:t>
      </w:r>
      <w:r>
        <w:rPr>
          <w:rFonts w:hint="default" w:ascii="Times New Roman PS Pro" w:hAnsi="Times New Roman PS Pro" w:eastAsia="仿宋_GB2312" w:cs="Times New Roman PS Pro"/>
          <w:b w:val="0"/>
          <w:bCs w:val="0"/>
          <w:color w:val="auto"/>
          <w:sz w:val="32"/>
          <w:szCs w:val="32"/>
          <w:highlight w:val="none"/>
          <w:u w:val="none"/>
          <w:shd w:val="clear" w:color="auto" w:fill="auto"/>
        </w:rPr>
        <w:t xml:space="preserve"> 政府投资资金应当投向市场不能有效配置资源的社会公益服务、公共基础设施、农业</w:t>
      </w:r>
      <w:bookmarkStart w:id="0" w:name="_GoBack"/>
      <w:bookmarkEnd w:id="0"/>
      <w:r>
        <w:rPr>
          <w:rFonts w:hint="default" w:ascii="Times New Roman PS Pro" w:hAnsi="Times New Roman PS Pro" w:eastAsia="仿宋_GB2312" w:cs="Times New Roman PS Pro"/>
          <w:b w:val="0"/>
          <w:bCs w:val="0"/>
          <w:color w:val="auto"/>
          <w:sz w:val="32"/>
          <w:szCs w:val="32"/>
          <w:highlight w:val="none"/>
          <w:u w:val="none"/>
          <w:shd w:val="clear" w:color="auto" w:fill="auto"/>
        </w:rPr>
        <w:t>农村、生态环境保护、重大科技进步、社会管理、国家安全等公共领域的项目</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。聚焦解决高质量发展中的重大问题，集中力量支持国家重大战略实施和重点领域安全能力建</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设。</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政府投资项目应当</w:t>
      </w:r>
      <w:r>
        <w:rPr>
          <w:rFonts w:hint="default" w:ascii="Times New Roman PS Pro" w:hAnsi="Times New Roman PS Pro" w:eastAsia="仿宋_GB2312" w:cs="Times New Roman PS Pro"/>
          <w:b w:val="0"/>
          <w:bCs w:val="0"/>
          <w:color w:val="auto"/>
          <w:sz w:val="32"/>
          <w:szCs w:val="32"/>
          <w:highlight w:val="none"/>
          <w:u w:val="none"/>
          <w:shd w:val="clear" w:color="auto" w:fill="auto"/>
        </w:rPr>
        <w:t>以非经营性项目为主。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PS Pro" w:hAnsi="Times New Roman PS Pro" w:eastAsia="仿宋_GB2312" w:cs="Times New Roman PS Pro"/>
          <w:b w:val="0"/>
          <w:bCs w:val="0"/>
          <w:color w:val="auto"/>
          <w:sz w:val="32"/>
          <w:szCs w:val="32"/>
          <w:highlight w:val="none"/>
          <w:u w:val="none"/>
          <w:shd w:val="clear" w:color="auto" w:fill="auto"/>
        </w:rPr>
      </w:pP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自治区</w:t>
      </w:r>
      <w:r>
        <w:rPr>
          <w:rFonts w:hint="default" w:ascii="Times New Roman PS Pro" w:hAnsi="Times New Roman PS Pro" w:eastAsia="仿宋_GB2312" w:cs="Times New Roman PS Pro"/>
          <w:b w:val="0"/>
          <w:bCs w:val="0"/>
          <w:color w:val="auto"/>
          <w:sz w:val="32"/>
          <w:szCs w:val="32"/>
          <w:highlight w:val="none"/>
          <w:u w:val="none"/>
          <w:shd w:val="clear" w:color="auto" w:fill="auto"/>
        </w:rPr>
        <w:t>完善有关政策措施，发挥政府投资资金的引导和带动作用，鼓励社会资金投向前款规定的领域。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pPr>
      <w:r>
        <w:rPr>
          <w:rFonts w:hint="default" w:ascii="Times New Roman PS Pro" w:hAnsi="Times New Roman PS Pro" w:eastAsia="仿宋_GB2312" w:cs="Times New Roman PS Pro"/>
          <w:b w:val="0"/>
          <w:bCs w:val="0"/>
          <w:color w:val="auto"/>
          <w:sz w:val="32"/>
          <w:szCs w:val="32"/>
          <w:highlight w:val="none"/>
          <w:u w:val="none"/>
          <w:shd w:val="clear" w:color="auto" w:fill="auto"/>
        </w:rPr>
        <w:t>第四条</w:t>
      </w:r>
      <w:r>
        <w:rPr>
          <w:rFonts w:hint="eastAsia" w:ascii="仿宋_GB2312" w:hAnsi="仿宋_GB2312" w:eastAsia="仿宋_GB2312" w:cs="仿宋_GB2312"/>
          <w:b w:val="0"/>
          <w:bCs w:val="0"/>
          <w:color w:val="auto"/>
          <w:sz w:val="32"/>
          <w:szCs w:val="32"/>
          <w:highlight w:val="none"/>
          <w:lang w:val="en-US" w:eastAsia="zh-CN"/>
        </w:rPr>
        <w:t>【基本原则】</w:t>
      </w:r>
      <w:r>
        <w:rPr>
          <w:rFonts w:hint="default" w:ascii="Times New Roman PS Pro" w:hAnsi="Times New Roman PS Pro" w:eastAsia="仿宋_GB2312" w:cs="Times New Roman PS Pro"/>
          <w:b w:val="0"/>
          <w:bCs w:val="0"/>
          <w:color w:val="auto"/>
          <w:sz w:val="32"/>
          <w:szCs w:val="32"/>
          <w:highlight w:val="none"/>
          <w:u w:val="none"/>
          <w:shd w:val="clear" w:color="auto" w:fill="auto"/>
        </w:rPr>
        <w:t xml:space="preserve"> 政府投资应当遵循科学决策、规范管理、注重绩效、公开透明</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协同高效</w:t>
      </w:r>
      <w:r>
        <w:rPr>
          <w:rFonts w:hint="default" w:ascii="Times New Roman PS Pro" w:hAnsi="Times New Roman PS Pro" w:eastAsia="仿宋_GB2312" w:cs="Times New Roman PS Pro"/>
          <w:b w:val="0"/>
          <w:bCs w:val="0"/>
          <w:color w:val="auto"/>
          <w:sz w:val="32"/>
          <w:szCs w:val="32"/>
          <w:highlight w:val="none"/>
          <w:u w:val="none"/>
          <w:shd w:val="clear" w:color="auto" w:fill="auto"/>
        </w:rPr>
        <w:t>的原则</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pP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政府投资应当与经济社会发展水平和财政收支状况相适应。加强对政府投资资金的预算约束，政府及其有关部门不得违法违规</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举借债务</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筹措政府投资资金。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pP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政府投资项目应当统筹考虑经济社会发展目标任务、宏观调控政策以及政府投资能力等，科学合理谋划政府投资项目，通过国家重大项目库持续加强政府投资项目储备，做好与规划实施、评估、调整的统筹衔接。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pP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第五条</w:t>
      </w:r>
      <w:r>
        <w:rPr>
          <w:rFonts w:hint="eastAsia" w:ascii="仿宋_GB2312" w:hAnsi="仿宋_GB2312" w:eastAsia="仿宋_GB2312" w:cs="仿宋_GB2312"/>
          <w:b w:val="0"/>
          <w:bCs w:val="0"/>
          <w:color w:val="auto"/>
          <w:sz w:val="32"/>
          <w:szCs w:val="32"/>
          <w:highlight w:val="none"/>
          <w:lang w:val="en-US" w:eastAsia="zh-CN"/>
        </w:rPr>
        <w:t>【政府投资方式】</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 xml:space="preserve"> </w:t>
      </w:r>
      <w:r>
        <w:rPr>
          <w:rFonts w:hint="default" w:ascii="Times New Roman PS Pro" w:hAnsi="Times New Roman PS Pro" w:eastAsia="仿宋_GB2312" w:cs="Times New Roman PS Pro"/>
          <w:b w:val="0"/>
          <w:bCs w:val="0"/>
          <w:color w:val="auto"/>
          <w:sz w:val="32"/>
          <w:szCs w:val="32"/>
          <w:highlight w:val="none"/>
          <w:u w:val="none"/>
          <w:shd w:val="clear" w:color="auto" w:fill="auto"/>
        </w:rPr>
        <w:t>政府投资资金按项目安排，以直接投资方式为主；对确需支持的经营性项目，</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主要</w:t>
      </w:r>
      <w:r>
        <w:rPr>
          <w:rFonts w:hint="default" w:ascii="Times New Roman PS Pro" w:hAnsi="Times New Roman PS Pro" w:eastAsia="仿宋_GB2312" w:cs="Times New Roman PS Pro"/>
          <w:b w:val="0"/>
          <w:bCs w:val="0"/>
          <w:color w:val="auto"/>
          <w:sz w:val="32"/>
          <w:szCs w:val="32"/>
          <w:highlight w:val="none"/>
          <w:u w:val="none"/>
          <w:shd w:val="clear" w:color="auto" w:fill="auto"/>
        </w:rPr>
        <w:t>采取资本金注入方式，也可以适当采取投资补助、贷款贴息等方式</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pPr>
      <w:r>
        <w:rPr>
          <w:rFonts w:hint="default" w:ascii="Times New Roman PS Pro" w:hAnsi="Times New Roman PS Pro" w:eastAsia="仿宋_GB2312" w:cs="Times New Roman PS Pro"/>
          <w:b w:val="0"/>
          <w:bCs w:val="0"/>
          <w:color w:val="auto"/>
          <w:sz w:val="32"/>
          <w:szCs w:val="32"/>
          <w:highlight w:val="none"/>
          <w:u w:val="none"/>
          <w:shd w:val="clear" w:color="auto" w:fill="auto"/>
        </w:rPr>
        <w:t>安排政府投资资金，应当符合推进</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中央与地方</w:t>
      </w:r>
      <w:r>
        <w:rPr>
          <w:rFonts w:hint="default" w:ascii="Times New Roman PS Pro" w:hAnsi="Times New Roman PS Pro" w:eastAsia="仿宋_GB2312" w:cs="Times New Roman PS Pro"/>
          <w:b w:val="0"/>
          <w:bCs w:val="0"/>
          <w:color w:val="auto"/>
          <w:sz w:val="32"/>
          <w:szCs w:val="32"/>
          <w:highlight w:val="none"/>
          <w:u w:val="none"/>
          <w:shd w:val="clear" w:color="auto" w:fill="auto"/>
        </w:rPr>
        <w:t>财政事权和支出责任划分改革的有关要求，并平等对待各类投资主体，不得设置歧视性条件。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pP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第</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六</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条</w:t>
      </w:r>
      <w:r>
        <w:rPr>
          <w:rFonts w:hint="eastAsia" w:ascii="仿宋_GB2312" w:hAnsi="仿宋_GB2312" w:eastAsia="仿宋_GB2312" w:cs="仿宋_GB2312"/>
          <w:b w:val="0"/>
          <w:bCs w:val="0"/>
          <w:color w:val="auto"/>
          <w:sz w:val="32"/>
          <w:szCs w:val="32"/>
          <w:highlight w:val="none"/>
          <w:lang w:val="en-US" w:eastAsia="zh-CN"/>
        </w:rPr>
        <w:t>【部门职责】</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 xml:space="preserve"> </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县级以上人民政府发展和改革部门为投资主管部门，应当牵头完善政府投资决策和实施机制，加强政府投资项目统筹，</w:t>
      </w:r>
      <w:r>
        <w:rPr>
          <w:rFonts w:hint="default" w:ascii="Times New Roman" w:hAnsi="Times New Roman" w:eastAsia="仿宋_GB2312" w:cs="Times New Roman"/>
          <w:b w:val="0"/>
          <w:bCs w:val="0"/>
          <w:color w:val="auto"/>
          <w:sz w:val="32"/>
          <w:szCs w:val="32"/>
          <w:highlight w:val="none"/>
        </w:rPr>
        <w:t>督促有关地方和部门、单位落实监督管理责任，推动投资项目有效实施、投资计划规范执行</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pP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县级以上人民政府</w:t>
      </w:r>
      <w:r>
        <w:rPr>
          <w:rFonts w:hint="default" w:ascii="Times New Roman PS Pro" w:hAnsi="Times New Roman PS Pro" w:eastAsia="仿宋_GB2312" w:cs="Times New Roman PS Pro"/>
          <w:b w:val="0"/>
          <w:bCs w:val="0"/>
          <w:color w:val="auto"/>
          <w:sz w:val="32"/>
          <w:szCs w:val="32"/>
          <w:highlight w:val="none"/>
          <w:u w:val="none"/>
          <w:shd w:val="clear" w:color="auto" w:fill="auto"/>
          <w:lang w:val="en-US" w:eastAsia="zh-CN"/>
        </w:rPr>
        <w:t>财政</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部门应当加强财政资金监管和财会监督，防范地方政府债务风险；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pP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县级以上人民政府行业主管部门应当按照职责分工加强本领域政府投资项目管理，</w:t>
      </w:r>
      <w:r>
        <w:rPr>
          <w:rFonts w:hint="default" w:ascii="Times New Roman" w:hAnsi="Times New Roman" w:eastAsia="仿宋_GB2312" w:cs="Times New Roman"/>
          <w:b w:val="0"/>
          <w:bCs w:val="0"/>
          <w:color w:val="auto"/>
          <w:sz w:val="32"/>
          <w:szCs w:val="32"/>
          <w:highlight w:val="none"/>
        </w:rPr>
        <w:t>组织实施对</w:t>
      </w:r>
      <w:r>
        <w:rPr>
          <w:rFonts w:hint="eastAsia" w:ascii="Times New Roman" w:hAnsi="Times New Roman" w:eastAsia="仿宋_GB2312" w:cs="Times New Roman"/>
          <w:b w:val="0"/>
          <w:bCs w:val="0"/>
          <w:color w:val="auto"/>
          <w:sz w:val="32"/>
          <w:szCs w:val="32"/>
          <w:highlight w:val="none"/>
          <w:lang w:eastAsia="zh-CN"/>
        </w:rPr>
        <w:t>本行业政府</w:t>
      </w:r>
      <w:r>
        <w:rPr>
          <w:rFonts w:hint="default" w:ascii="Times New Roman" w:hAnsi="Times New Roman" w:eastAsia="仿宋_GB2312" w:cs="Times New Roman"/>
          <w:b w:val="0"/>
          <w:bCs w:val="0"/>
          <w:color w:val="auto"/>
          <w:sz w:val="32"/>
          <w:szCs w:val="32"/>
          <w:highlight w:val="none"/>
        </w:rPr>
        <w:t>投资项目的日常调度、在线监测和监督检查等</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lang w:eastAsia="zh-CN"/>
        </w:rPr>
        <w:t>县级以上人民政府自然资源、生态环境、林业和草原、发展改革、水利等部门应当加强政府投资项目用地、环评、占林、用能、水保等要素保障需求；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项目日常监管责任单位应当履行投资项目建设实施日常监管及其相应的投资计划执行的直接责任</w:t>
      </w:r>
      <w:r>
        <w:rPr>
          <w:rFonts w:hint="eastAsia" w:ascii="Times New Roman" w:hAnsi="Times New Roman" w:eastAsia="仿宋_GB2312" w:cs="Times New Roman"/>
          <w:b w:val="0"/>
          <w:bCs w:val="0"/>
          <w:color w:val="auto"/>
          <w:sz w:val="32"/>
          <w:szCs w:val="32"/>
          <w:highlight w:val="none"/>
          <w:lang w:eastAsia="zh-CN"/>
        </w:rPr>
        <w:t>，负责</w:t>
      </w:r>
      <w:r>
        <w:rPr>
          <w:rFonts w:hint="eastAsia" w:ascii="Times New Roman PS Pro" w:hAnsi="Times New Roman PS Pro" w:eastAsia="仿宋_GB2312" w:cs="Times New Roman PS Pro"/>
          <w:b w:val="0"/>
          <w:bCs w:val="0"/>
          <w:color w:val="auto"/>
          <w:kern w:val="2"/>
          <w:sz w:val="32"/>
          <w:szCs w:val="32"/>
          <w:highlight w:val="none"/>
          <w:lang w:val="en-US" w:eastAsia="zh-CN" w:bidi="ar"/>
        </w:rPr>
        <w:t>项目的组织实施和日常管理</w:t>
      </w:r>
      <w:r>
        <w:rPr>
          <w:rFonts w:hint="eastAsia" w:ascii="Times New Roman" w:hAnsi="Times New Roman" w:eastAsia="仿宋_GB2312" w:cs="Times New Roman"/>
          <w:b w:val="0"/>
          <w:bCs w:val="0"/>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项目单位（法人）应当严格落实投资项目及其相应的投资计划执行的日常管理主体责任</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PS Pro" w:hAnsi="Times New Roman PS Pro" w:eastAsia="仿宋_GB2312" w:cs="Times New Roman PS Pro"/>
          <w:b w:val="0"/>
          <w:bCs w:val="0"/>
          <w:color w:val="auto"/>
          <w:kern w:val="2"/>
          <w:sz w:val="32"/>
          <w:szCs w:val="32"/>
          <w:highlight w:val="none"/>
          <w:lang w:val="en-US" w:eastAsia="zh-CN"/>
        </w:rPr>
        <w:t>负责项目的日常监管、现场核查和监督检查</w:t>
      </w:r>
      <w:r>
        <w:rPr>
          <w:rFonts w:hint="eastAsia" w:ascii="Times New Roman" w:hAnsi="Times New Roman" w:eastAsia="仿宋_GB2312" w:cs="Times New Roman"/>
          <w:b w:val="0"/>
          <w:bCs w:val="0"/>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sz w:val="32"/>
          <w:szCs w:val="32"/>
          <w:highlight w:val="none"/>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PS Pro" w:hAnsi="Times New Roman PS Pro" w:eastAsia="黑体" w:cs="Times New Roman PS Pro"/>
          <w:b w:val="0"/>
          <w:bCs w:val="0"/>
          <w:color w:val="auto"/>
          <w:sz w:val="32"/>
          <w:szCs w:val="32"/>
          <w:highlight w:val="none"/>
          <w:u w:val="none"/>
          <w:shd w:val="clear" w:color="auto" w:fill="auto"/>
        </w:rPr>
      </w:pPr>
      <w:r>
        <w:rPr>
          <w:rFonts w:hint="default" w:ascii="Times New Roman PS Pro" w:hAnsi="Times New Roman PS Pro" w:eastAsia="黑体" w:cs="Times New Roman PS Pro"/>
          <w:b w:val="0"/>
          <w:bCs w:val="0"/>
          <w:color w:val="auto"/>
          <w:sz w:val="32"/>
          <w:szCs w:val="32"/>
          <w:highlight w:val="none"/>
          <w:u w:val="none"/>
          <w:shd w:val="clear" w:color="auto" w:fill="auto"/>
        </w:rPr>
        <w:t>第二章 政府投资决策</w:t>
      </w:r>
    </w:p>
    <w:p>
      <w:pPr>
        <w:keepNext w:val="0"/>
        <w:keepLines w:val="0"/>
        <w:spacing w:line="560" w:lineRule="exact"/>
        <w:ind w:firstLine="640" w:firstLineChars="200"/>
        <w:outlineLvl w:val="9"/>
        <w:rPr>
          <w:rFonts w:hint="default"/>
          <w:b w:val="0"/>
          <w:bCs w:val="0"/>
          <w:color w:val="auto"/>
          <w:highlight w:val="none"/>
        </w:rPr>
      </w:pP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第</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七</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条</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政府投资项目</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报批程序</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PS Pro" w:hAnsi="Times New Roman PS Pro" w:eastAsia="仿宋_GB2312" w:cs="Times New Roman PS Pro"/>
          <w:b w:val="0"/>
          <w:bCs w:val="0"/>
          <w:color w:val="auto"/>
          <w:sz w:val="32"/>
          <w:szCs w:val="32"/>
          <w:highlight w:val="none"/>
          <w:u w:val="none"/>
          <w:shd w:val="clear" w:color="auto" w:fill="auto"/>
        </w:rPr>
        <w:t xml:space="preserve"> </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政府</w:t>
      </w:r>
      <w:r>
        <w:rPr>
          <w:rFonts w:hint="default" w:ascii="Times New Roman PS Pro" w:hAnsi="Times New Roman PS Pro" w:eastAsia="仿宋_GB2312" w:cs="Times New Roman PS Pro"/>
          <w:b w:val="0"/>
          <w:bCs w:val="0"/>
          <w:color w:val="auto"/>
          <w:sz w:val="32"/>
          <w:szCs w:val="32"/>
          <w:highlight w:val="none"/>
          <w:u w:val="none"/>
          <w:shd w:val="clear" w:color="auto" w:fill="auto"/>
        </w:rPr>
        <w:t>采</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取</w:t>
      </w:r>
      <w:r>
        <w:rPr>
          <w:rFonts w:hint="default" w:ascii="Times New Roman PS Pro" w:hAnsi="Times New Roman PS Pro" w:eastAsia="仿宋_GB2312" w:cs="Times New Roman PS Pro"/>
          <w:b w:val="0"/>
          <w:bCs w:val="0"/>
          <w:color w:val="auto"/>
          <w:sz w:val="32"/>
          <w:szCs w:val="32"/>
          <w:highlight w:val="none"/>
          <w:u w:val="none"/>
          <w:shd w:val="clear" w:color="auto" w:fill="auto"/>
        </w:rPr>
        <w:t>直接投资方式、资本金注入方式投资的项目</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w:t>
      </w:r>
      <w:r>
        <w:rPr>
          <w:rFonts w:hint="default" w:ascii="Times New Roman PS Pro" w:hAnsi="Times New Roman PS Pro" w:eastAsia="仿宋_GB2312" w:cs="Times New Roman PS Pro"/>
          <w:b w:val="0"/>
          <w:bCs w:val="0"/>
          <w:color w:val="auto"/>
          <w:sz w:val="32"/>
          <w:szCs w:val="32"/>
          <w:highlight w:val="none"/>
          <w:u w:val="none"/>
          <w:shd w:val="clear" w:color="auto" w:fill="auto"/>
        </w:rPr>
        <w:t>以下统称政府投资项目</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w:t>
      </w:r>
      <w:r>
        <w:rPr>
          <w:rFonts w:hint="default" w:ascii="Times New Roman PS Pro" w:hAnsi="Times New Roman PS Pro" w:eastAsia="仿宋_GB2312" w:cs="Times New Roman PS Pro"/>
          <w:b w:val="0"/>
          <w:bCs w:val="0"/>
          <w:color w:val="auto"/>
          <w:sz w:val="32"/>
          <w:szCs w:val="32"/>
          <w:highlight w:val="none"/>
          <w:u w:val="none"/>
          <w:shd w:val="clear" w:color="auto" w:fill="auto"/>
        </w:rPr>
        <w:t>，</w:t>
      </w:r>
      <w:r>
        <w:rPr>
          <w:rFonts w:hint="eastAsia" w:ascii="Times New Roman PS Pro" w:hAnsi="Times New Roman PS Pro" w:eastAsia="仿宋_GB2312" w:cs="Times New Roman PS Pro"/>
          <w:b w:val="0"/>
          <w:bCs w:val="0"/>
          <w:color w:val="auto"/>
          <w:sz w:val="32"/>
          <w:szCs w:val="32"/>
          <w:highlight w:val="none"/>
          <w:u w:val="none"/>
          <w:shd w:val="clear" w:color="auto" w:fill="auto"/>
        </w:rPr>
        <w:t>项目</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法人</w:t>
      </w:r>
      <w:r>
        <w:rPr>
          <w:rFonts w:hint="eastAsia" w:ascii="Times New Roman PS Pro" w:hAnsi="Times New Roman PS Pro" w:eastAsia="仿宋_GB2312" w:cs="Times New Roman PS Pro"/>
          <w:b w:val="0"/>
          <w:bCs w:val="0"/>
          <w:color w:val="auto"/>
          <w:sz w:val="32"/>
          <w:szCs w:val="32"/>
          <w:highlight w:val="none"/>
          <w:u w:val="none"/>
          <w:shd w:val="clear" w:color="auto" w:fill="auto"/>
        </w:rPr>
        <w:t>单位</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（以下统称项目单位）</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应当</w:t>
      </w:r>
      <w:r>
        <w:rPr>
          <w:rFonts w:hint="eastAsia" w:ascii="Times New Roman PS Pro" w:hAnsi="Times New Roman PS Pro" w:eastAsia="仿宋_GB2312" w:cs="Times New Roman PS Pro"/>
          <w:b w:val="0"/>
          <w:bCs w:val="0"/>
          <w:color w:val="auto"/>
          <w:sz w:val="32"/>
          <w:szCs w:val="32"/>
          <w:highlight w:val="none"/>
          <w:u w:val="none"/>
          <w:shd w:val="clear" w:color="auto" w:fill="auto"/>
        </w:rPr>
        <w:t>编制项目建议书、可行性研究报告</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w:t>
      </w:r>
      <w:r>
        <w:rPr>
          <w:rFonts w:hint="eastAsia" w:ascii="Times New Roman PS Pro" w:hAnsi="Times New Roman PS Pro" w:eastAsia="仿宋_GB2312" w:cs="Times New Roman PS Pro"/>
          <w:b w:val="0"/>
          <w:bCs w:val="0"/>
          <w:color w:val="auto"/>
          <w:sz w:val="32"/>
          <w:szCs w:val="32"/>
          <w:highlight w:val="none"/>
          <w:u w:val="none"/>
          <w:shd w:val="clear" w:color="auto" w:fill="auto"/>
        </w:rPr>
        <w:t>初步设计</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w:t>
      </w:r>
      <w:r>
        <w:rPr>
          <w:rFonts w:hint="default" w:ascii="Times New Roman PS Pro" w:hAnsi="Times New Roman PS Pro" w:eastAsia="仿宋_GB2312" w:cs="Times New Roman PS Pro"/>
          <w:b w:val="0"/>
          <w:bCs w:val="0"/>
          <w:color w:val="auto"/>
          <w:sz w:val="32"/>
          <w:szCs w:val="32"/>
          <w:highlight w:val="none"/>
          <w:u w:val="none"/>
          <w:shd w:val="clear" w:color="auto" w:fill="auto"/>
        </w:rPr>
        <w:t>按照政府投资管理权限和规定的程序，报</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县级以上人民政府投资主管部门</w:t>
      </w:r>
      <w:r>
        <w:rPr>
          <w:rFonts w:hint="default" w:ascii="Times New Roman PS Pro" w:hAnsi="Times New Roman PS Pro" w:eastAsia="仿宋_GB2312" w:cs="Times New Roman PS Pro"/>
          <w:b w:val="0"/>
          <w:bCs w:val="0"/>
          <w:color w:val="auto"/>
          <w:sz w:val="32"/>
          <w:szCs w:val="32"/>
          <w:highlight w:val="none"/>
          <w:u w:val="none"/>
          <w:shd w:val="clear" w:color="auto" w:fill="auto"/>
        </w:rPr>
        <w:t>或者政府赋予项目审批权的其他部门审批</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县级以上</w:t>
      </w:r>
      <w:r>
        <w:rPr>
          <w:rFonts w:hint="default" w:ascii="Times New Roman PS Pro" w:hAnsi="Times New Roman PS Pro" w:eastAsia="仿宋_GB2312" w:cs="Times New Roman PS Pro"/>
          <w:b w:val="0"/>
          <w:bCs w:val="0"/>
          <w:color w:val="auto"/>
          <w:sz w:val="32"/>
          <w:szCs w:val="32"/>
          <w:highlight w:val="none"/>
          <w:u w:val="none"/>
          <w:shd w:val="clear" w:color="auto" w:fill="auto"/>
        </w:rPr>
        <w:t>投资主管部门或其他有关部门</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一律不</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得</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受理、审批无明确资金来源的项目</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pPr>
      <w:r>
        <w:rPr>
          <w:rFonts w:hint="eastAsia" w:ascii="Times New Roman PS Pro" w:hAnsi="Times New Roman PS Pro" w:eastAsia="仿宋_GB2312" w:cs="Times New Roman PS Pro"/>
          <w:b w:val="0"/>
          <w:bCs w:val="0"/>
          <w:color w:val="auto"/>
          <w:kern w:val="2"/>
          <w:sz w:val="32"/>
          <w:szCs w:val="32"/>
          <w:highlight w:val="none"/>
          <w:u w:val="none"/>
          <w:shd w:val="clear" w:color="auto" w:fill="auto"/>
          <w:lang w:val="en-US" w:eastAsia="zh-CN" w:bidi="ar-SA"/>
        </w:rPr>
        <w:t>项目单位应当深化项目前期工作研究，合理确定项目建设内容、规模、标准和投融资方案等，综合考虑政府投资能力、运营管理成本、项目运营模式，做好多方案</w:t>
      </w:r>
      <w:r>
        <w:rPr>
          <w:rFonts w:hint="eastAsia" w:ascii="Times New Roman PS Pro" w:hAnsi="Times New Roman PS Pro" w:eastAsia="仿宋_GB2312" w:cs="Times New Roman PS Pro"/>
          <w:b w:val="0"/>
          <w:bCs w:val="0"/>
          <w:color w:val="auto"/>
          <w:kern w:val="2"/>
          <w:sz w:val="32"/>
          <w:szCs w:val="32"/>
          <w:highlight w:val="none"/>
          <w:u w:val="none"/>
          <w:shd w:val="clear" w:color="auto" w:fill="auto"/>
          <w:lang w:val="en-US" w:eastAsia="zh-CN" w:bidi="ar-SA"/>
        </w:rPr>
        <w:t>比</w:t>
      </w:r>
      <w:r>
        <w:rPr>
          <w:rFonts w:hint="eastAsia" w:ascii="Times New Roman PS Pro" w:hAnsi="Times New Roman PS Pro" w:eastAsia="仿宋_GB2312" w:cs="Times New Roman PS Pro"/>
          <w:b w:val="0"/>
          <w:bCs w:val="0"/>
          <w:color w:val="auto"/>
          <w:kern w:val="2"/>
          <w:sz w:val="32"/>
          <w:szCs w:val="32"/>
          <w:highlight w:val="none"/>
          <w:u w:val="none"/>
          <w:shd w:val="clear" w:color="auto" w:fill="auto"/>
          <w:lang w:val="en-US" w:eastAsia="zh-CN" w:bidi="ar-SA"/>
        </w:rPr>
        <w:t>选、多维度论证，保证前期工作的深度达到规定要求，并对相关文本和所附文件的真实性负责。</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pP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第</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八</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条</w:t>
      </w:r>
      <w:r>
        <w:rPr>
          <w:rFonts w:hint="eastAsia" w:ascii="仿宋_GB2312" w:hAnsi="仿宋_GB2312" w:eastAsia="仿宋_GB2312" w:cs="仿宋_GB2312"/>
          <w:b w:val="0"/>
          <w:bCs w:val="0"/>
          <w:color w:val="auto"/>
          <w:sz w:val="32"/>
          <w:szCs w:val="32"/>
          <w:highlight w:val="none"/>
          <w:lang w:val="en-US" w:eastAsia="zh-CN"/>
        </w:rPr>
        <w:t xml:space="preserve">【项目建议书】 </w:t>
      </w:r>
      <w:r>
        <w:rPr>
          <w:rFonts w:hint="eastAsia" w:ascii="仿宋_GB2312" w:hAnsi="仿宋_GB2312" w:eastAsia="仿宋_GB2312" w:cs="仿宋_GB2312"/>
          <w:b w:val="0"/>
          <w:bCs w:val="0"/>
          <w:color w:val="auto"/>
          <w:sz w:val="32"/>
          <w:szCs w:val="32"/>
          <w:highlight w:val="none"/>
          <w:lang w:val="en-US" w:eastAsia="zh-CN"/>
        </w:rPr>
        <w:t>项目建议书应当</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对项目建设的必要性、主要建设内容、拟建地点、拟建规模、投资匡算、资金筹措及社会效益和经济效益等进行初步分析。</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pP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项目建议书报批时应当附具以下文件：</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pPr>
      <w:r>
        <w:rPr>
          <w:rFonts w:hint="eastAsia" w:ascii="Times New Roman PS Pro" w:hAnsi="Times New Roman PS Pro" w:eastAsia="仿宋_GB2312" w:cs="Times New Roman PS Pro"/>
          <w:b w:val="0"/>
          <w:bCs w:val="0"/>
          <w:color w:val="auto"/>
          <w:sz w:val="32"/>
          <w:szCs w:val="32"/>
          <w:highlight w:val="none"/>
          <w:u w:val="none"/>
          <w:shd w:val="clear" w:color="auto" w:fill="auto"/>
        </w:rPr>
        <w:t>（一）</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申请</w:t>
      </w:r>
      <w:r>
        <w:rPr>
          <w:rFonts w:hint="default" w:ascii="Times New Roman PS Pro" w:hAnsi="Times New Roman PS Pro" w:eastAsia="仿宋_GB2312" w:cs="Times New Roman PS Pro"/>
          <w:b w:val="0"/>
          <w:bCs w:val="0"/>
          <w:color w:val="auto"/>
          <w:sz w:val="32"/>
          <w:szCs w:val="32"/>
          <w:highlight w:val="none"/>
          <w:u w:val="none"/>
          <w:shd w:val="clear" w:color="auto" w:fill="auto"/>
        </w:rPr>
        <w:t>审批</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项目建议书</w:t>
      </w:r>
      <w:r>
        <w:rPr>
          <w:rFonts w:hint="default" w:ascii="Times New Roman PS Pro" w:hAnsi="Times New Roman PS Pro" w:eastAsia="仿宋_GB2312" w:cs="Times New Roman PS Pro"/>
          <w:b w:val="0"/>
          <w:bCs w:val="0"/>
          <w:color w:val="auto"/>
          <w:sz w:val="32"/>
          <w:szCs w:val="32"/>
          <w:highlight w:val="none"/>
          <w:u w:val="none"/>
          <w:shd w:val="clear" w:color="auto" w:fill="auto"/>
        </w:rPr>
        <w:t>文件</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pPr>
      <w:r>
        <w:rPr>
          <w:rFonts w:hint="eastAsia" w:ascii="Times New Roman PS Pro" w:hAnsi="Times New Roman PS Pro" w:eastAsia="仿宋_GB2312" w:cs="Times New Roman PS Pro"/>
          <w:b w:val="0"/>
          <w:bCs w:val="0"/>
          <w:color w:val="auto"/>
          <w:sz w:val="32"/>
          <w:szCs w:val="32"/>
          <w:highlight w:val="none"/>
          <w:u w:val="none"/>
          <w:shd w:val="clear" w:color="auto" w:fill="auto"/>
        </w:rPr>
        <w:t>（二）项目建议书</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pPr>
      <w:r>
        <w:rPr>
          <w:rFonts w:hint="eastAsia" w:ascii="Times New Roman PS Pro" w:hAnsi="Times New Roman PS Pro" w:eastAsia="仿宋_GB2312" w:cs="Times New Roman PS Pro"/>
          <w:b w:val="0"/>
          <w:bCs w:val="0"/>
          <w:color w:val="auto"/>
          <w:sz w:val="32"/>
          <w:szCs w:val="32"/>
          <w:highlight w:val="none"/>
          <w:u w:val="none"/>
          <w:shd w:val="clear" w:color="auto" w:fill="auto"/>
        </w:rPr>
        <w:t>（</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三</w:t>
      </w:r>
      <w:r>
        <w:rPr>
          <w:rFonts w:hint="eastAsia" w:ascii="Times New Roman PS Pro" w:hAnsi="Times New Roman PS Pro" w:eastAsia="仿宋_GB2312" w:cs="Times New Roman PS Pro"/>
          <w:b w:val="0"/>
          <w:bCs w:val="0"/>
          <w:color w:val="auto"/>
          <w:sz w:val="32"/>
          <w:szCs w:val="32"/>
          <w:highlight w:val="none"/>
          <w:u w:val="none"/>
          <w:shd w:val="clear" w:color="auto" w:fill="auto"/>
        </w:rPr>
        <w:t>）</w:t>
      </w:r>
      <w:r>
        <w:rPr>
          <w:rFonts w:hint="default" w:ascii="Times New Roman PS Pro" w:hAnsi="Times New Roman PS Pro" w:eastAsia="仿宋_GB2312" w:cs="Times New Roman PS Pro"/>
          <w:b w:val="0"/>
          <w:bCs w:val="0"/>
          <w:color w:val="auto"/>
          <w:sz w:val="32"/>
          <w:szCs w:val="32"/>
          <w:highlight w:val="none"/>
          <w:u w:val="none"/>
          <w:shd w:val="clear" w:color="auto" w:fill="auto"/>
        </w:rPr>
        <w:t>项目建设资金</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来源</w:t>
      </w:r>
      <w:r>
        <w:rPr>
          <w:rFonts w:hint="default" w:ascii="Times New Roman PS Pro" w:hAnsi="Times New Roman PS Pro" w:eastAsia="仿宋_GB2312" w:cs="Times New Roman PS Pro"/>
          <w:b w:val="0"/>
          <w:bCs w:val="0"/>
          <w:color w:val="auto"/>
          <w:sz w:val="32"/>
          <w:szCs w:val="32"/>
          <w:highlight w:val="none"/>
          <w:u w:val="none"/>
          <w:shd w:val="clear" w:color="auto" w:fill="auto"/>
        </w:rPr>
        <w:t>证明</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hint="eastAsia" w:ascii="Times New Roman PS Pro" w:hAnsi="Times New Roman PS Pro" w:eastAsia="仿宋_GB2312" w:cs="Times New Roman PS Pro"/>
          <w:b w:val="0"/>
          <w:bCs w:val="0"/>
          <w:color w:val="auto"/>
          <w:sz w:val="32"/>
          <w:szCs w:val="32"/>
          <w:highlight w:val="none"/>
          <w:u w:val="none"/>
          <w:shd w:val="clear" w:color="auto" w:fill="auto"/>
        </w:rPr>
      </w:pPr>
      <w:r>
        <w:rPr>
          <w:rFonts w:hint="eastAsia" w:ascii="Times New Roman PS Pro" w:hAnsi="Times New Roman PS Pro" w:eastAsia="仿宋_GB2312" w:cs="Times New Roman PS Pro"/>
          <w:b w:val="0"/>
          <w:bCs w:val="0"/>
          <w:color w:val="auto"/>
          <w:sz w:val="32"/>
          <w:szCs w:val="32"/>
          <w:highlight w:val="none"/>
          <w:u w:val="none"/>
          <w:shd w:val="clear" w:color="auto" w:fill="auto"/>
        </w:rPr>
        <w:t>（</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四</w:t>
      </w:r>
      <w:r>
        <w:rPr>
          <w:rFonts w:hint="eastAsia" w:ascii="Times New Roman PS Pro" w:hAnsi="Times New Roman PS Pro" w:eastAsia="仿宋_GB2312" w:cs="Times New Roman PS Pro"/>
          <w:b w:val="0"/>
          <w:bCs w:val="0"/>
          <w:color w:val="auto"/>
          <w:sz w:val="32"/>
          <w:szCs w:val="32"/>
          <w:highlight w:val="none"/>
          <w:u w:val="none"/>
          <w:shd w:val="clear" w:color="auto" w:fill="auto"/>
        </w:rPr>
        <w:t>）法律、法规规定的其他相关手续。</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pPr>
      <w:r>
        <w:rPr>
          <w:rFonts w:hint="eastAsia" w:ascii="仿宋" w:hAnsi="仿宋" w:eastAsia="仿宋" w:cs="宋体"/>
          <w:b w:val="0"/>
          <w:bCs w:val="0"/>
          <w:color w:val="auto"/>
          <w:kern w:val="0"/>
          <w:sz w:val="32"/>
          <w:szCs w:val="32"/>
          <w:highlight w:val="none"/>
          <w:shd w:val="clear" w:color="auto" w:fill="FFFFFF"/>
        </w:rPr>
        <w:t>第</w:t>
      </w:r>
      <w:r>
        <w:rPr>
          <w:rFonts w:hint="eastAsia" w:ascii="仿宋" w:hAnsi="仿宋" w:eastAsia="仿宋" w:cs="宋体"/>
          <w:b w:val="0"/>
          <w:bCs w:val="0"/>
          <w:color w:val="auto"/>
          <w:kern w:val="0"/>
          <w:sz w:val="32"/>
          <w:szCs w:val="32"/>
          <w:highlight w:val="none"/>
          <w:shd w:val="clear" w:color="auto" w:fill="FFFFFF"/>
          <w:lang w:val="en-US" w:eastAsia="zh-CN"/>
        </w:rPr>
        <w:t>九</w:t>
      </w:r>
      <w:r>
        <w:rPr>
          <w:rFonts w:hint="eastAsia" w:ascii="仿宋" w:hAnsi="仿宋" w:eastAsia="仿宋" w:cs="宋体"/>
          <w:b w:val="0"/>
          <w:bCs w:val="0"/>
          <w:color w:val="auto"/>
          <w:kern w:val="0"/>
          <w:sz w:val="32"/>
          <w:szCs w:val="32"/>
          <w:highlight w:val="none"/>
          <w:shd w:val="clear" w:color="auto" w:fill="FFFFFF"/>
        </w:rPr>
        <w:t>条</w:t>
      </w:r>
      <w:r>
        <w:rPr>
          <w:rFonts w:hint="eastAsia" w:ascii="仿宋_GB2312" w:hAnsi="仿宋_GB2312" w:eastAsia="仿宋_GB2312" w:cs="仿宋_GB2312"/>
          <w:b w:val="0"/>
          <w:bCs w:val="0"/>
          <w:color w:val="auto"/>
          <w:sz w:val="32"/>
          <w:szCs w:val="32"/>
          <w:highlight w:val="none"/>
          <w:lang w:val="en-US" w:eastAsia="zh-CN"/>
        </w:rPr>
        <w:t>【项目可行性研究报告】 项目</w:t>
      </w:r>
      <w:r>
        <w:rPr>
          <w:rFonts w:hint="eastAsia" w:ascii="仿宋_GB2312" w:hAnsi="仿宋_GB2312" w:eastAsia="仿宋_GB2312" w:cs="仿宋_GB2312"/>
          <w:b w:val="0"/>
          <w:bCs w:val="0"/>
          <w:color w:val="auto"/>
          <w:sz w:val="32"/>
          <w:szCs w:val="32"/>
          <w:highlight w:val="none"/>
          <w:lang w:val="en-US" w:eastAsia="zh-CN"/>
        </w:rPr>
        <w:t>可行性研究报告应当</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对项目在技术和经济上的可行性以及社会效益、资源综合利用、生态环境影响、社会稳定风险等进行全面分析论证，落实各项建设和运行保障条件。 </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pP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项目可行性研究报告报批时应当附具以下文件：</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pP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（一）项目建议书批复文件；</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pP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（二）申请审批项目可行性研究报告文件；</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pP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（三）由具有相应资质设计单位编制的可行性研究报告；</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hint="eastAsia" w:ascii="Times New Roman PS Pro" w:hAnsi="Times New Roman PS Pro" w:eastAsia="仿宋_GB2312" w:cs="Times New Roman PS Pro"/>
          <w:b w:val="0"/>
          <w:bCs w:val="0"/>
          <w:color w:val="auto"/>
          <w:sz w:val="32"/>
          <w:szCs w:val="32"/>
          <w:highlight w:val="none"/>
          <w:u w:val="none"/>
          <w:shd w:val="clear" w:color="auto" w:fill="auto"/>
        </w:rPr>
      </w:pPr>
      <w:r>
        <w:rPr>
          <w:rFonts w:hint="eastAsia" w:ascii="Times New Roman PS Pro" w:hAnsi="Times New Roman PS Pro" w:eastAsia="仿宋_GB2312" w:cs="Times New Roman PS Pro"/>
          <w:b w:val="0"/>
          <w:bCs w:val="0"/>
          <w:color w:val="auto"/>
          <w:sz w:val="32"/>
          <w:szCs w:val="32"/>
          <w:highlight w:val="none"/>
          <w:u w:val="none"/>
          <w:shd w:val="clear" w:color="auto" w:fill="auto"/>
        </w:rPr>
        <w:t>（</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四</w:t>
      </w:r>
      <w:r>
        <w:rPr>
          <w:rFonts w:hint="eastAsia" w:ascii="Times New Roman PS Pro" w:hAnsi="Times New Roman PS Pro" w:eastAsia="仿宋_GB2312" w:cs="Times New Roman PS Pro"/>
          <w:b w:val="0"/>
          <w:bCs w:val="0"/>
          <w:color w:val="auto"/>
          <w:sz w:val="32"/>
          <w:szCs w:val="32"/>
          <w:highlight w:val="none"/>
          <w:u w:val="none"/>
          <w:shd w:val="clear" w:color="auto" w:fill="auto"/>
        </w:rPr>
        <w:t>）建设项目用地预审与选址意见书</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（依法不办理用地预审和规划选址的情形除外）</w:t>
      </w:r>
      <w:r>
        <w:rPr>
          <w:rFonts w:hint="eastAsia" w:ascii="Times New Roman PS Pro" w:hAnsi="Times New Roman PS Pro" w:eastAsia="仿宋_GB2312" w:cs="Times New Roman PS Pro"/>
          <w:b w:val="0"/>
          <w:bCs w:val="0"/>
          <w:color w:val="auto"/>
          <w:sz w:val="32"/>
          <w:szCs w:val="32"/>
          <w:highlight w:val="none"/>
          <w:u w:val="none"/>
          <w:shd w:val="clear" w:color="auto" w:fill="auto"/>
        </w:rPr>
        <w:t>；</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hint="eastAsia" w:ascii="Times New Roman PS Pro" w:hAnsi="Times New Roman PS Pro" w:eastAsia="仿宋_GB2312" w:cs="Times New Roman PS Pro"/>
          <w:b w:val="0"/>
          <w:bCs w:val="0"/>
          <w:color w:val="auto"/>
          <w:sz w:val="32"/>
          <w:szCs w:val="32"/>
          <w:highlight w:val="none"/>
          <w:u w:val="none"/>
          <w:shd w:val="clear" w:color="auto" w:fill="auto"/>
        </w:rPr>
      </w:pPr>
      <w:r>
        <w:rPr>
          <w:rFonts w:hint="eastAsia" w:ascii="Times New Roman PS Pro" w:hAnsi="Times New Roman PS Pro" w:eastAsia="仿宋_GB2312" w:cs="Times New Roman PS Pro"/>
          <w:b w:val="0"/>
          <w:bCs w:val="0"/>
          <w:color w:val="auto"/>
          <w:sz w:val="32"/>
          <w:szCs w:val="32"/>
          <w:highlight w:val="none"/>
          <w:u w:val="none"/>
          <w:shd w:val="clear" w:color="auto" w:fill="auto"/>
        </w:rPr>
        <w:t>（</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五</w:t>
      </w:r>
      <w:r>
        <w:rPr>
          <w:rFonts w:hint="eastAsia" w:ascii="Times New Roman PS Pro" w:hAnsi="Times New Roman PS Pro" w:eastAsia="仿宋_GB2312" w:cs="Times New Roman PS Pro"/>
          <w:b w:val="0"/>
          <w:bCs w:val="0"/>
          <w:color w:val="auto"/>
          <w:sz w:val="32"/>
          <w:szCs w:val="32"/>
          <w:highlight w:val="none"/>
          <w:u w:val="none"/>
          <w:shd w:val="clear" w:color="auto" w:fill="auto"/>
        </w:rPr>
        <w:t>）节能审查意见书（依法不单独进行节能审查的情形除外）；</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pP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（六）行业主管部门出具的行业审查意见；</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hint="eastAsia" w:ascii="Times New Roman PS Pro" w:hAnsi="Times New Roman PS Pro" w:eastAsia="仿宋_GB2312" w:cs="Times New Roman PS Pro"/>
          <w:b w:val="0"/>
          <w:bCs w:val="0"/>
          <w:color w:val="auto"/>
          <w:sz w:val="32"/>
          <w:szCs w:val="32"/>
          <w:highlight w:val="none"/>
          <w:u w:val="none"/>
          <w:shd w:val="clear" w:color="auto" w:fill="auto"/>
        </w:rPr>
      </w:pPr>
      <w:r>
        <w:rPr>
          <w:rFonts w:hint="eastAsia" w:ascii="Times New Roman PS Pro" w:hAnsi="Times New Roman PS Pro" w:eastAsia="仿宋_GB2312" w:cs="Times New Roman PS Pro"/>
          <w:b w:val="0"/>
          <w:bCs w:val="0"/>
          <w:color w:val="auto"/>
          <w:sz w:val="32"/>
          <w:szCs w:val="32"/>
          <w:highlight w:val="none"/>
          <w:u w:val="none"/>
          <w:shd w:val="clear" w:color="auto" w:fill="auto"/>
        </w:rPr>
        <w:t>（</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七</w:t>
      </w:r>
      <w:r>
        <w:rPr>
          <w:rFonts w:hint="eastAsia" w:ascii="Times New Roman PS Pro" w:hAnsi="Times New Roman PS Pro" w:eastAsia="仿宋_GB2312" w:cs="Times New Roman PS Pro"/>
          <w:b w:val="0"/>
          <w:bCs w:val="0"/>
          <w:color w:val="auto"/>
          <w:sz w:val="32"/>
          <w:szCs w:val="32"/>
          <w:highlight w:val="none"/>
          <w:u w:val="none"/>
          <w:shd w:val="clear" w:color="auto" w:fill="auto"/>
        </w:rPr>
        <w:t>）法律、法规规定的其他相关手续。</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pPr>
      <w:r>
        <w:rPr>
          <w:rFonts w:hint="eastAsia" w:ascii="仿宋" w:hAnsi="仿宋" w:eastAsia="仿宋" w:cs="宋体"/>
          <w:b w:val="0"/>
          <w:bCs w:val="0"/>
          <w:color w:val="auto"/>
          <w:kern w:val="0"/>
          <w:sz w:val="32"/>
          <w:szCs w:val="32"/>
          <w:highlight w:val="none"/>
          <w:shd w:val="clear" w:color="auto" w:fill="FFFFFF"/>
        </w:rPr>
        <w:t>第十条</w:t>
      </w:r>
      <w:r>
        <w:rPr>
          <w:rFonts w:hint="eastAsia" w:ascii="仿宋_GB2312" w:hAnsi="仿宋_GB2312" w:eastAsia="仿宋_GB2312" w:cs="仿宋_GB2312"/>
          <w:b w:val="0"/>
          <w:bCs w:val="0"/>
          <w:color w:val="auto"/>
          <w:sz w:val="32"/>
          <w:szCs w:val="32"/>
          <w:highlight w:val="none"/>
          <w:lang w:val="en-US" w:eastAsia="zh-CN"/>
        </w:rPr>
        <w:t xml:space="preserve">【项目初步设计】 </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初步设计应当明确项目的建设内容、建设地点、建设规模、建设标准、用地规模、主要材料、设备规格和技术参数等设计方案以及资金筹措方案和投资概算，投资概算应当包括项目建设所需的全部费用。</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hint="eastAsia" w:ascii="Times New Roman PS Pro" w:hAnsi="Times New Roman PS Pro" w:eastAsia="仿宋_GB2312" w:cs="Times New Roman PS Pro"/>
          <w:b w:val="0"/>
          <w:bCs w:val="0"/>
          <w:color w:val="auto"/>
          <w:kern w:val="2"/>
          <w:sz w:val="32"/>
          <w:szCs w:val="32"/>
          <w:highlight w:val="none"/>
          <w:u w:val="none"/>
          <w:shd w:val="clear" w:color="auto" w:fill="auto"/>
          <w:lang w:val="en-US" w:eastAsia="zh-CN" w:bidi="ar-SA"/>
        </w:rPr>
      </w:pPr>
      <w:r>
        <w:rPr>
          <w:rFonts w:hint="eastAsia" w:ascii="Times New Roman PS Pro" w:hAnsi="Times New Roman PS Pro" w:eastAsia="仿宋_GB2312" w:cs="Times New Roman PS Pro"/>
          <w:b w:val="0"/>
          <w:bCs w:val="0"/>
          <w:color w:val="auto"/>
          <w:kern w:val="2"/>
          <w:sz w:val="32"/>
          <w:szCs w:val="32"/>
          <w:highlight w:val="none"/>
          <w:u w:val="none"/>
          <w:shd w:val="clear" w:color="auto" w:fill="auto"/>
          <w:lang w:val="en-US" w:eastAsia="zh-CN" w:bidi="ar-SA"/>
        </w:rPr>
        <w:t>项目初步设计报批时应当附具以下文件：</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hint="eastAsia" w:ascii="Times New Roman PS Pro" w:hAnsi="Times New Roman PS Pro" w:eastAsia="仿宋_GB2312" w:cs="Times New Roman PS Pro"/>
          <w:b w:val="0"/>
          <w:bCs w:val="0"/>
          <w:color w:val="auto"/>
          <w:kern w:val="2"/>
          <w:sz w:val="32"/>
          <w:szCs w:val="32"/>
          <w:highlight w:val="none"/>
          <w:u w:val="none"/>
          <w:shd w:val="clear" w:color="auto" w:fill="auto"/>
          <w:lang w:val="en-US" w:eastAsia="zh-CN" w:bidi="ar-SA"/>
        </w:rPr>
      </w:pPr>
      <w:r>
        <w:rPr>
          <w:rFonts w:hint="eastAsia" w:ascii="Times New Roman PS Pro" w:hAnsi="Times New Roman PS Pro" w:eastAsia="仿宋_GB2312" w:cs="Times New Roman PS Pro"/>
          <w:b w:val="0"/>
          <w:bCs w:val="0"/>
          <w:color w:val="auto"/>
          <w:kern w:val="2"/>
          <w:sz w:val="32"/>
          <w:szCs w:val="32"/>
          <w:highlight w:val="none"/>
          <w:u w:val="none"/>
          <w:shd w:val="clear" w:color="auto" w:fill="auto"/>
          <w:lang w:val="en-US" w:eastAsia="zh-CN" w:bidi="ar-SA"/>
        </w:rPr>
        <w:t>（一）项目可行性研究报告批复文件；</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hint="eastAsia" w:ascii="Times New Roman PS Pro" w:hAnsi="Times New Roman PS Pro" w:eastAsia="仿宋_GB2312" w:cs="Times New Roman PS Pro"/>
          <w:b w:val="0"/>
          <w:bCs w:val="0"/>
          <w:color w:val="auto"/>
          <w:kern w:val="2"/>
          <w:sz w:val="32"/>
          <w:szCs w:val="32"/>
          <w:highlight w:val="none"/>
          <w:u w:val="none"/>
          <w:shd w:val="clear" w:color="auto" w:fill="auto"/>
          <w:lang w:val="en-US" w:eastAsia="zh-CN" w:bidi="ar-SA"/>
        </w:rPr>
      </w:pPr>
      <w:r>
        <w:rPr>
          <w:rFonts w:hint="eastAsia" w:ascii="Times New Roman PS Pro" w:hAnsi="Times New Roman PS Pro" w:eastAsia="仿宋_GB2312" w:cs="Times New Roman PS Pro"/>
          <w:b w:val="0"/>
          <w:bCs w:val="0"/>
          <w:color w:val="auto"/>
          <w:kern w:val="2"/>
          <w:sz w:val="32"/>
          <w:szCs w:val="32"/>
          <w:highlight w:val="none"/>
          <w:u w:val="none"/>
          <w:shd w:val="clear" w:color="auto" w:fill="auto"/>
          <w:lang w:val="en-US" w:eastAsia="zh-CN" w:bidi="ar-SA"/>
        </w:rPr>
        <w:t>（二）申请审批项目初步设计文件；</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hint="eastAsia" w:ascii="Times New Roman PS Pro" w:hAnsi="Times New Roman PS Pro" w:eastAsia="仿宋_GB2312" w:cs="Times New Roman PS Pro"/>
          <w:b w:val="0"/>
          <w:bCs w:val="0"/>
          <w:color w:val="auto"/>
          <w:kern w:val="2"/>
          <w:sz w:val="32"/>
          <w:szCs w:val="32"/>
          <w:highlight w:val="none"/>
          <w:u w:val="none"/>
          <w:shd w:val="clear" w:color="auto" w:fill="auto"/>
          <w:lang w:val="en-US" w:eastAsia="zh-CN" w:bidi="ar-SA"/>
        </w:rPr>
      </w:pPr>
      <w:r>
        <w:rPr>
          <w:rFonts w:hint="eastAsia" w:ascii="Times New Roman PS Pro" w:hAnsi="Times New Roman PS Pro" w:eastAsia="仿宋_GB2312" w:cs="Times New Roman PS Pro"/>
          <w:b w:val="0"/>
          <w:bCs w:val="0"/>
          <w:color w:val="auto"/>
          <w:kern w:val="2"/>
          <w:sz w:val="32"/>
          <w:szCs w:val="32"/>
          <w:highlight w:val="none"/>
          <w:u w:val="none"/>
          <w:shd w:val="clear" w:color="auto" w:fill="auto"/>
          <w:lang w:val="en-US" w:eastAsia="zh-CN" w:bidi="ar-SA"/>
        </w:rPr>
        <w:t>（三）由具有相应资质设计单位编制的初步设计和投资概算；</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pPr>
      <w:r>
        <w:rPr>
          <w:rFonts w:hint="eastAsia" w:ascii="Times New Roman PS Pro" w:hAnsi="Times New Roman PS Pro" w:eastAsia="仿宋_GB2312" w:cs="Times New Roman PS Pro"/>
          <w:b w:val="0"/>
          <w:bCs w:val="0"/>
          <w:color w:val="auto"/>
          <w:kern w:val="2"/>
          <w:sz w:val="32"/>
          <w:szCs w:val="32"/>
          <w:highlight w:val="none"/>
          <w:u w:val="none"/>
          <w:shd w:val="clear" w:color="auto" w:fill="auto"/>
          <w:lang w:val="en-US" w:eastAsia="zh-CN" w:bidi="ar-SA"/>
        </w:rPr>
        <w:t>（四）法律法规规定需要提供的其他</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文件</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sz w:val="32"/>
          <w:szCs w:val="32"/>
          <w:highlight w:val="none"/>
          <w:u w:val="none"/>
          <w:shd w:val="clear" w:color="auto" w:fill="auto"/>
          <w:lang w:eastAsia="zh-CN"/>
        </w:rPr>
      </w:pPr>
      <w:r>
        <w:rPr>
          <w:rFonts w:hint="default" w:ascii="Times New Roman" w:hAnsi="Times New Roman" w:eastAsia="仿宋_GB2312" w:cs="Times New Roman"/>
          <w:b w:val="0"/>
          <w:bCs w:val="0"/>
          <w:color w:val="auto"/>
          <w:sz w:val="32"/>
          <w:szCs w:val="32"/>
          <w:highlight w:val="none"/>
          <w:u w:val="none"/>
          <w:shd w:val="clear" w:color="auto" w:fill="auto"/>
        </w:rPr>
        <w:t>初步设计提出的</w:t>
      </w:r>
      <w:r>
        <w:rPr>
          <w:rFonts w:hint="eastAsia" w:ascii="Times New Roman" w:hAnsi="Times New Roman" w:eastAsia="仿宋_GB2312" w:cs="Times New Roman"/>
          <w:b w:val="0"/>
          <w:bCs w:val="0"/>
          <w:color w:val="auto"/>
          <w:sz w:val="32"/>
          <w:szCs w:val="32"/>
          <w:highlight w:val="none"/>
          <w:u w:val="none"/>
          <w:shd w:val="clear" w:color="auto" w:fill="auto"/>
          <w:lang w:val="en-US" w:eastAsia="zh-CN"/>
        </w:rPr>
        <w:t>投资</w:t>
      </w:r>
      <w:r>
        <w:rPr>
          <w:rFonts w:hint="default" w:ascii="Times New Roman" w:hAnsi="Times New Roman" w:eastAsia="仿宋_GB2312" w:cs="Times New Roman"/>
          <w:b w:val="0"/>
          <w:bCs w:val="0"/>
          <w:color w:val="auto"/>
          <w:sz w:val="32"/>
          <w:szCs w:val="32"/>
          <w:highlight w:val="none"/>
          <w:u w:val="none"/>
          <w:shd w:val="clear" w:color="auto" w:fill="auto"/>
        </w:rPr>
        <w:t>概算超过</w:t>
      </w:r>
      <w:r>
        <w:rPr>
          <w:rFonts w:hint="eastAsia" w:ascii="Times New Roman" w:hAnsi="Times New Roman" w:eastAsia="仿宋_GB2312" w:cs="Times New Roman"/>
          <w:b w:val="0"/>
          <w:bCs w:val="0"/>
          <w:color w:val="auto"/>
          <w:sz w:val="32"/>
          <w:szCs w:val="32"/>
          <w:highlight w:val="none"/>
          <w:u w:val="none"/>
          <w:shd w:val="clear" w:color="auto" w:fill="auto"/>
          <w:lang w:val="en-US" w:eastAsia="zh-CN"/>
        </w:rPr>
        <w:t>经</w:t>
      </w:r>
      <w:r>
        <w:rPr>
          <w:rFonts w:hint="default" w:ascii="Times New Roman" w:hAnsi="Times New Roman" w:eastAsia="仿宋_GB2312" w:cs="Times New Roman"/>
          <w:b w:val="0"/>
          <w:bCs w:val="0"/>
          <w:color w:val="auto"/>
          <w:sz w:val="32"/>
          <w:szCs w:val="32"/>
          <w:highlight w:val="none"/>
          <w:u w:val="none"/>
          <w:shd w:val="clear" w:color="auto" w:fill="auto"/>
        </w:rPr>
        <w:t>批准的可行性研究报告</w:t>
      </w:r>
      <w:r>
        <w:rPr>
          <w:rFonts w:hint="eastAsia" w:ascii="Times New Roman" w:hAnsi="Times New Roman" w:eastAsia="仿宋_GB2312" w:cs="Times New Roman"/>
          <w:b w:val="0"/>
          <w:bCs w:val="0"/>
          <w:color w:val="auto"/>
          <w:sz w:val="32"/>
          <w:szCs w:val="32"/>
          <w:highlight w:val="none"/>
          <w:u w:val="none"/>
          <w:shd w:val="clear" w:color="auto" w:fill="auto"/>
          <w:lang w:val="en-US" w:eastAsia="zh-CN"/>
        </w:rPr>
        <w:t>提出的投资估算</w:t>
      </w:r>
      <w:r>
        <w:rPr>
          <w:rFonts w:hint="default" w:ascii="Times New Roman" w:hAnsi="Times New Roman" w:eastAsia="仿宋_GB2312" w:cs="Times New Roman"/>
          <w:b w:val="0"/>
          <w:bCs w:val="0"/>
          <w:color w:val="auto"/>
          <w:sz w:val="32"/>
          <w:szCs w:val="32"/>
          <w:highlight w:val="none"/>
          <w:u w:val="none"/>
          <w:shd w:val="clear" w:color="auto" w:fill="auto"/>
        </w:rPr>
        <w:t>10%的，项目单位应当向项目可行性研究报告审批部门报告，项目可行性研究报告审批部门可以要求项目单位重新报送可行性研究报告</w:t>
      </w:r>
      <w:r>
        <w:rPr>
          <w:rFonts w:hint="eastAsia" w:ascii="Times New Roman" w:hAnsi="Times New Roman" w:eastAsia="仿宋_GB2312" w:cs="Times New Roman"/>
          <w:b w:val="0"/>
          <w:bCs w:val="0"/>
          <w:color w:val="auto"/>
          <w:sz w:val="32"/>
          <w:szCs w:val="32"/>
          <w:highlight w:val="none"/>
          <w:u w:val="none"/>
          <w:shd w:val="clear" w:color="auto" w:fill="auto"/>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sz w:val="32"/>
          <w:szCs w:val="32"/>
          <w:highlight w:val="none"/>
          <w:u w:val="none"/>
          <w:shd w:val="clear" w:color="auto" w:fill="auto"/>
          <w:lang w:eastAsia="zh-CN"/>
        </w:rPr>
      </w:pPr>
      <w:r>
        <w:rPr>
          <w:rFonts w:hint="eastAsia" w:ascii="Times New Roman PS Pro" w:hAnsi="Times New Roman PS Pro" w:eastAsia="仿宋_GB2312" w:cs="Times New Roman PS Pro"/>
          <w:b w:val="0"/>
          <w:bCs w:val="0"/>
          <w:color w:val="auto"/>
          <w:sz w:val="32"/>
          <w:szCs w:val="32"/>
          <w:highlight w:val="none"/>
          <w:lang w:val="en-US" w:eastAsia="zh-CN"/>
        </w:rPr>
        <w:t>第十一条</w:t>
      </w:r>
      <w:r>
        <w:rPr>
          <w:rFonts w:hint="eastAsia" w:ascii="仿宋_GB2312" w:hAnsi="仿宋_GB2312" w:eastAsia="仿宋_GB2312" w:cs="仿宋_GB2312"/>
          <w:b w:val="0"/>
          <w:bCs w:val="0"/>
          <w:color w:val="auto"/>
          <w:sz w:val="32"/>
          <w:szCs w:val="32"/>
          <w:highlight w:val="none"/>
          <w:lang w:val="en-US" w:eastAsia="zh-CN"/>
        </w:rPr>
        <w:t>【</w:t>
      </w:r>
      <w:r>
        <w:rPr>
          <w:rFonts w:hint="eastAsia" w:ascii="Times New Roman PS Pro" w:hAnsi="Times New Roman PS Pro" w:eastAsia="仿宋_GB2312" w:cs="Times New Roman PS Pro"/>
          <w:b w:val="0"/>
          <w:bCs w:val="0"/>
          <w:color w:val="auto"/>
          <w:sz w:val="32"/>
          <w:szCs w:val="32"/>
          <w:highlight w:val="none"/>
          <w:lang w:val="en-US" w:eastAsia="zh-CN"/>
        </w:rPr>
        <w:t>审批决策</w:t>
      </w:r>
      <w:r>
        <w:rPr>
          <w:rFonts w:hint="eastAsia" w:ascii="仿宋_GB2312" w:hAnsi="仿宋_GB2312" w:eastAsia="仿宋_GB2312" w:cs="仿宋_GB2312"/>
          <w:b w:val="0"/>
          <w:bCs w:val="0"/>
          <w:color w:val="auto"/>
          <w:sz w:val="32"/>
          <w:szCs w:val="32"/>
          <w:highlight w:val="none"/>
          <w:lang w:val="en-US" w:eastAsia="zh-CN"/>
        </w:rPr>
        <w:t>】</w:t>
      </w:r>
      <w:r>
        <w:rPr>
          <w:rFonts w:hint="eastAsia" w:ascii="Times New Roman PS Pro" w:hAnsi="Times New Roman PS Pro" w:eastAsia="仿宋_GB2312" w:cs="Times New Roman PS Pro"/>
          <w:b w:val="0"/>
          <w:bCs w:val="0"/>
          <w:color w:val="auto"/>
          <w:sz w:val="32"/>
          <w:szCs w:val="32"/>
          <w:highlight w:val="none"/>
          <w:lang w:val="en-US" w:eastAsia="zh-CN"/>
        </w:rPr>
        <w:t xml:space="preserve"> </w:t>
      </w:r>
      <w:r>
        <w:rPr>
          <w:rFonts w:hint="eastAsia" w:ascii="Times New Roman" w:hAnsi="Times New Roman" w:eastAsia="仿宋_GB2312" w:cs="Times New Roman"/>
          <w:b w:val="0"/>
          <w:bCs w:val="0"/>
          <w:color w:val="auto"/>
          <w:sz w:val="32"/>
          <w:szCs w:val="32"/>
          <w:highlight w:val="none"/>
          <w:u w:val="none"/>
          <w:shd w:val="clear" w:color="auto" w:fill="auto"/>
          <w:lang w:eastAsia="zh-CN"/>
        </w:rPr>
        <w:t>政府投资项目应当坚持先评估、后决策的原则，除建设内容单一、投资规模较小、技术方案简单等的项目外，审批部门应当委托具有相应资信和能力的工程咨询机构或组织专家评议等进行咨询评估。对经济社会影响大、技术方案复杂或分歧意见较多的政府投资项目，可同时委托两家以上机构开展咨询评估。</w:t>
      </w:r>
      <w:r>
        <w:rPr>
          <w:rFonts w:hint="eastAsia" w:ascii="仿宋_GB2312" w:hAnsi="仿宋_GB2312" w:eastAsia="仿宋_GB2312" w:cs="仿宋_GB2312"/>
          <w:b w:val="0"/>
          <w:bCs w:val="0"/>
          <w:color w:val="auto"/>
          <w:sz w:val="32"/>
          <w:szCs w:val="32"/>
          <w:highlight w:val="none"/>
        </w:rPr>
        <w:t>严格规范政府投资项</w:t>
      </w:r>
      <w:r>
        <w:rPr>
          <w:rFonts w:hint="eastAsia" w:ascii="仿宋_GB2312" w:hAnsi="仿宋_GB2312" w:eastAsia="仿宋_GB2312" w:cs="仿宋_GB2312"/>
          <w:b w:val="0"/>
          <w:bCs w:val="0"/>
          <w:color w:val="auto"/>
          <w:sz w:val="32"/>
          <w:szCs w:val="32"/>
          <w:highlight w:val="none"/>
          <w:lang w:eastAsia="zh-CN"/>
        </w:rPr>
        <w:t>目</w:t>
      </w:r>
      <w:r>
        <w:rPr>
          <w:rFonts w:hint="eastAsia" w:ascii="仿宋_GB2312" w:hAnsi="仿宋_GB2312" w:eastAsia="仿宋_GB2312" w:cs="仿宋_GB2312"/>
          <w:b w:val="0"/>
          <w:bCs w:val="0"/>
          <w:color w:val="auto"/>
          <w:sz w:val="32"/>
          <w:szCs w:val="32"/>
          <w:highlight w:val="none"/>
        </w:rPr>
        <w:t>论证，除</w:t>
      </w:r>
      <w:r>
        <w:rPr>
          <w:rFonts w:hint="eastAsia" w:ascii="仿宋_GB2312" w:hAnsi="仿宋_GB2312" w:eastAsia="仿宋_GB2312" w:cs="仿宋_GB2312"/>
          <w:b w:val="0"/>
          <w:bCs w:val="0"/>
          <w:color w:val="auto"/>
          <w:sz w:val="32"/>
          <w:szCs w:val="32"/>
          <w:highlight w:val="none"/>
          <w:lang w:eastAsia="zh-CN"/>
        </w:rPr>
        <w:t>法律</w:t>
      </w:r>
      <w:r>
        <w:rPr>
          <w:rFonts w:hint="eastAsia" w:ascii="仿宋_GB2312" w:hAnsi="仿宋_GB2312" w:eastAsia="仿宋_GB2312" w:cs="仿宋_GB2312"/>
          <w:b w:val="0"/>
          <w:bCs w:val="0"/>
          <w:color w:val="auto"/>
          <w:sz w:val="32"/>
          <w:szCs w:val="32"/>
          <w:highlight w:val="none"/>
        </w:rPr>
        <w:t>法规有明确规定外，不得增加新的评估评审</w:t>
      </w:r>
      <w:r>
        <w:rPr>
          <w:rFonts w:hint="eastAsia" w:ascii="仿宋_GB2312" w:hAnsi="仿宋_GB2312" w:eastAsia="仿宋_GB2312" w:cs="仿宋_GB2312"/>
          <w:b w:val="0"/>
          <w:bCs w:val="0"/>
          <w:color w:val="auto"/>
          <w:sz w:val="32"/>
          <w:szCs w:val="32"/>
          <w:highlight w:val="none"/>
          <w:lang w:eastAsia="zh-CN"/>
        </w:rPr>
        <w:t>内</w:t>
      </w:r>
      <w:r>
        <w:rPr>
          <w:rFonts w:hint="eastAsia" w:ascii="仿宋_GB2312" w:hAnsi="仿宋_GB2312" w:eastAsia="仿宋_GB2312" w:cs="仿宋_GB2312"/>
          <w:b w:val="0"/>
          <w:bCs w:val="0"/>
          <w:color w:val="auto"/>
          <w:sz w:val="32"/>
          <w:szCs w:val="32"/>
          <w:highlight w:val="none"/>
        </w:rPr>
        <w:t>容和环节。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pP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县级以上人民政府投资主管部门或其他有关部门应当通过投资项目在线审批监管平台履行项目审批手续（</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涉及</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国家秘密的项目除外），</w:t>
      </w:r>
      <w:r>
        <w:rPr>
          <w:rFonts w:hint="eastAsia" w:ascii="Times New Roman PS Pro" w:hAnsi="Times New Roman PS Pro" w:eastAsia="仿宋_GB2312" w:cs="Times New Roman PS Pro"/>
          <w:b w:val="0"/>
          <w:bCs w:val="0"/>
          <w:color w:val="auto"/>
          <w:sz w:val="32"/>
          <w:szCs w:val="32"/>
          <w:highlight w:val="none"/>
          <w:lang w:val="en-US" w:eastAsia="zh-CN"/>
        </w:rPr>
        <w:t>根据国民经济和社会发展规划、相关领域专项规划、产业政策等，对政府投资项目进行审查，作出是否批准的决定。</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对不予批准的，应当书面通知项目单位并说明理由。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PS Pro" w:hAnsi="Times New Roman PS Pro" w:eastAsia="仿宋_GB2312" w:cs="Times New Roman PS Pro"/>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lang w:val="en-US" w:eastAsia="zh-CN"/>
        </w:rPr>
        <w:t>第十二条【流程简化】</w:t>
      </w:r>
      <w:r>
        <w:rPr>
          <w:rFonts w:hint="default" w:ascii="Times New Roman PS Pro" w:hAnsi="Times New Roman PS Pro" w:eastAsia="仿宋_GB2312" w:cs="Times New Roman PS Pro"/>
          <w:b w:val="0"/>
          <w:bCs w:val="0"/>
          <w:color w:val="auto"/>
          <w:sz w:val="32"/>
          <w:szCs w:val="32"/>
          <w:highlight w:val="none"/>
          <w:u w:val="none"/>
          <w:shd w:val="clear" w:color="auto" w:fill="auto"/>
        </w:rPr>
        <w:t xml:space="preserve"> 对下列政府投资项目，可以按照国家有关规定简化需要报批的文件和审批程序：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PS Pro" w:hAnsi="Times New Roman PS Pro" w:eastAsia="仿宋_GB2312" w:cs="Times New Roman PS Pro"/>
          <w:b w:val="0"/>
          <w:bCs w:val="0"/>
          <w:color w:val="auto"/>
          <w:sz w:val="32"/>
          <w:szCs w:val="32"/>
          <w:highlight w:val="none"/>
          <w:lang w:val="en-US" w:eastAsia="zh-CN"/>
        </w:rPr>
      </w:pPr>
      <w:r>
        <w:rPr>
          <w:rFonts w:hint="eastAsia" w:ascii="Times New Roman PS Pro" w:hAnsi="Times New Roman PS Pro" w:eastAsia="仿宋_GB2312" w:cs="Times New Roman PS Pro"/>
          <w:b w:val="0"/>
          <w:bCs w:val="0"/>
          <w:color w:val="auto"/>
          <w:sz w:val="32"/>
          <w:szCs w:val="32"/>
          <w:highlight w:val="none"/>
          <w:lang w:val="en-US" w:eastAsia="zh-CN"/>
        </w:rPr>
        <w:t>（一）已列入经批准的国家和自治区发展规划、专项规划、区域规划、实施方案、行动计划范围的单个政府投资项目，可以合并编制项目建议书和可行性研究报告，审批可行性研究报告（代项目建议书）和初步设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PS Pro" w:hAnsi="Times New Roman PS Pro" w:eastAsia="仿宋_GB2312" w:cs="Times New Roman PS Pro"/>
          <w:b w:val="0"/>
          <w:bCs w:val="0"/>
          <w:color w:val="auto"/>
          <w:sz w:val="32"/>
          <w:szCs w:val="32"/>
          <w:highlight w:val="none"/>
          <w:lang w:val="en-US" w:eastAsia="zh-CN"/>
        </w:rPr>
      </w:pPr>
      <w:r>
        <w:rPr>
          <w:rFonts w:hint="eastAsia" w:ascii="Times New Roman PS Pro" w:hAnsi="Times New Roman PS Pro" w:eastAsia="仿宋_GB2312" w:cs="Times New Roman PS Pro"/>
          <w:b w:val="0"/>
          <w:bCs w:val="0"/>
          <w:color w:val="auto"/>
          <w:sz w:val="32"/>
          <w:szCs w:val="32"/>
          <w:highlight w:val="none"/>
          <w:lang w:val="en-US" w:eastAsia="zh-CN"/>
        </w:rPr>
        <w:t>（二）总投资在1000万元以下的政府投资项目，可以合并编制项目建议书、可行性研究报告、初步设计及概算，审批可行性研究报告（代项目建议书），</w:t>
      </w:r>
      <w:r>
        <w:rPr>
          <w:rFonts w:hint="eastAsia" w:ascii="Times New Roman PS Pro" w:hAnsi="Times New Roman PS Pro" w:eastAsia="仿宋_GB2312" w:cs="Times New Roman PS Pro"/>
          <w:b w:val="0"/>
          <w:bCs w:val="0"/>
          <w:color w:val="auto"/>
          <w:sz w:val="32"/>
          <w:szCs w:val="32"/>
          <w:highlight w:val="none"/>
          <w:lang w:val="en-US" w:eastAsia="zh-CN"/>
        </w:rPr>
        <w:t>并明确可行性研究报告达到初步设计要求</w:t>
      </w:r>
      <w:r>
        <w:rPr>
          <w:rFonts w:hint="eastAsia" w:ascii="Times New Roman PS Pro" w:hAnsi="Times New Roman PS Pro" w:eastAsia="仿宋_GB2312" w:cs="Times New Roman PS Pro"/>
          <w:b w:val="0"/>
          <w:bCs w:val="0"/>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PS Pro" w:hAnsi="Times New Roman PS Pro" w:eastAsia="仿宋_GB2312" w:cs="Times New Roman PS Pro"/>
          <w:b w:val="0"/>
          <w:bCs w:val="0"/>
          <w:color w:val="auto"/>
          <w:sz w:val="32"/>
          <w:szCs w:val="32"/>
          <w:highlight w:val="none"/>
          <w:lang w:val="en-US" w:eastAsia="zh-CN"/>
        </w:rPr>
      </w:pPr>
      <w:r>
        <w:rPr>
          <w:rFonts w:hint="eastAsia" w:ascii="Times New Roman PS Pro" w:hAnsi="Times New Roman PS Pro" w:eastAsia="仿宋_GB2312" w:cs="Times New Roman PS Pro"/>
          <w:b w:val="0"/>
          <w:bCs w:val="0"/>
          <w:color w:val="auto"/>
          <w:sz w:val="32"/>
          <w:szCs w:val="32"/>
          <w:highlight w:val="none"/>
          <w:lang w:val="en-US" w:eastAsia="zh-CN"/>
        </w:rPr>
        <w:t>总投资在1000万元以上5000万元以下的单个政府投资项目，审批可行性研究报告（代项目建议书）和初步设计。其中：点多、面广的打捆类政府投资项目和建设内容单一、技术方案简单的单个政府投资项目，可以合并编制项目建议书、可行性研究报告、初步设计及概算，审批可行性研究报告（代项目建议书），</w:t>
      </w:r>
      <w:r>
        <w:rPr>
          <w:rFonts w:hint="eastAsia" w:ascii="Times New Roman PS Pro" w:hAnsi="Times New Roman PS Pro" w:eastAsia="仿宋_GB2312" w:cs="Times New Roman PS Pro"/>
          <w:b w:val="0"/>
          <w:bCs w:val="0"/>
          <w:color w:val="auto"/>
          <w:sz w:val="32"/>
          <w:szCs w:val="32"/>
          <w:highlight w:val="none"/>
          <w:lang w:val="en-US" w:eastAsia="zh-CN"/>
        </w:rPr>
        <w:t>并明确可行性研究报告达到初步设计要求</w:t>
      </w:r>
      <w:r>
        <w:rPr>
          <w:rFonts w:hint="eastAsia" w:ascii="Times New Roman PS Pro" w:hAnsi="Times New Roman PS Pro" w:eastAsia="仿宋_GB2312" w:cs="Times New Roman PS Pro"/>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PS Pro" w:hAnsi="Times New Roman PS Pro" w:eastAsia="仿宋_GB2312" w:cs="Times New Roman PS Pro"/>
          <w:b w:val="0"/>
          <w:bCs w:val="0"/>
          <w:color w:val="auto"/>
          <w:sz w:val="32"/>
          <w:szCs w:val="32"/>
          <w:highlight w:val="none"/>
          <w:lang w:val="en-US" w:eastAsia="zh-CN"/>
        </w:rPr>
      </w:pPr>
      <w:r>
        <w:rPr>
          <w:rFonts w:hint="default" w:ascii="Times New Roman PS Pro" w:hAnsi="Times New Roman PS Pro" w:eastAsia="仿宋_GB2312" w:cs="Times New Roman PS Pro"/>
          <w:b w:val="0"/>
          <w:bCs w:val="0"/>
          <w:color w:val="auto"/>
          <w:sz w:val="32"/>
          <w:szCs w:val="32"/>
          <w:highlight w:val="none"/>
          <w:lang w:val="en-US" w:eastAsia="zh-CN"/>
        </w:rPr>
        <w:t>总投资</w:t>
      </w:r>
      <w:r>
        <w:rPr>
          <w:rFonts w:hint="eastAsia" w:ascii="Times New Roman PS Pro" w:hAnsi="Times New Roman PS Pro" w:eastAsia="仿宋_GB2312" w:cs="Times New Roman PS Pro"/>
          <w:b w:val="0"/>
          <w:bCs w:val="0"/>
          <w:color w:val="auto"/>
          <w:sz w:val="32"/>
          <w:szCs w:val="32"/>
          <w:highlight w:val="none"/>
          <w:lang w:val="en-US" w:eastAsia="zh-CN"/>
        </w:rPr>
        <w:t>5</w:t>
      </w:r>
      <w:r>
        <w:rPr>
          <w:rFonts w:hint="default" w:ascii="Times New Roman PS Pro" w:hAnsi="Times New Roman PS Pro" w:eastAsia="仿宋_GB2312" w:cs="Times New Roman PS Pro"/>
          <w:b w:val="0"/>
          <w:bCs w:val="0"/>
          <w:color w:val="auto"/>
          <w:sz w:val="32"/>
          <w:szCs w:val="32"/>
          <w:highlight w:val="none"/>
          <w:lang w:val="en-US" w:eastAsia="zh-CN"/>
        </w:rPr>
        <w:t>000万元及以上的项目，原则上应审批项目建议书、可行性研究报告和初步设计</w:t>
      </w:r>
      <w:r>
        <w:rPr>
          <w:rFonts w:hint="eastAsia" w:ascii="Times New Roman PS Pro" w:hAnsi="Times New Roman PS Pro" w:eastAsia="仿宋_GB2312" w:cs="Times New Roman PS Pro"/>
          <w:b w:val="0"/>
          <w:bCs w:val="0"/>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PS Pro" w:hAnsi="Times New Roman PS Pro" w:eastAsia="仿宋_GB2312" w:cs="Times New Roman PS Pro"/>
          <w:b w:val="0"/>
          <w:bCs w:val="0"/>
          <w:color w:val="auto"/>
          <w:sz w:val="32"/>
          <w:szCs w:val="32"/>
          <w:highlight w:val="none"/>
          <w:lang w:val="en-US" w:eastAsia="zh-CN"/>
        </w:rPr>
      </w:pPr>
      <w:r>
        <w:rPr>
          <w:rFonts w:hint="eastAsia" w:ascii="Times New Roman PS Pro" w:hAnsi="Times New Roman PS Pro" w:eastAsia="仿宋_GB2312" w:cs="Times New Roman PS Pro"/>
          <w:b w:val="0"/>
          <w:bCs w:val="0"/>
          <w:color w:val="auto"/>
          <w:sz w:val="32"/>
          <w:szCs w:val="32"/>
          <w:highlight w:val="none"/>
          <w:lang w:val="en-US" w:eastAsia="zh-CN"/>
        </w:rPr>
        <w:t>（三）单纯设备购置类的政府投资项目，可以合并编制项目建议书、可行性研究报告、初步设计及概算，审批可行性研究报告（代项目建议书），</w:t>
      </w:r>
      <w:r>
        <w:rPr>
          <w:rFonts w:hint="eastAsia" w:ascii="Times New Roman PS Pro" w:hAnsi="Times New Roman PS Pro" w:eastAsia="仿宋_GB2312" w:cs="Times New Roman PS Pro"/>
          <w:b w:val="0"/>
          <w:bCs w:val="0"/>
          <w:color w:val="auto"/>
          <w:sz w:val="32"/>
          <w:szCs w:val="32"/>
          <w:highlight w:val="none"/>
          <w:lang w:val="en-US" w:eastAsia="zh-CN"/>
        </w:rPr>
        <w:t>并明确可行性研究报告达到初步设计要求</w:t>
      </w:r>
      <w:r>
        <w:rPr>
          <w:rFonts w:hint="eastAsia" w:ascii="Times New Roman PS Pro" w:hAnsi="Times New Roman PS Pro" w:eastAsia="仿宋_GB2312" w:cs="Times New Roman PS Pro"/>
          <w:b w:val="0"/>
          <w:bCs w:val="0"/>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PS Pro" w:hAnsi="Times New Roman PS Pro" w:eastAsia="仿宋_GB2312" w:cs="Times New Roman PS Pro"/>
          <w:b w:val="0"/>
          <w:bCs w:val="0"/>
          <w:color w:val="auto"/>
          <w:sz w:val="32"/>
          <w:szCs w:val="32"/>
          <w:highlight w:val="none"/>
          <w:lang w:val="en-US" w:eastAsia="zh-CN"/>
        </w:rPr>
      </w:pPr>
      <w:r>
        <w:rPr>
          <w:rFonts w:hint="eastAsia" w:ascii="Times New Roman PS Pro" w:hAnsi="Times New Roman PS Pro" w:eastAsia="仿宋_GB2312" w:cs="Times New Roman PS Pro"/>
          <w:b w:val="0"/>
          <w:bCs w:val="0"/>
          <w:color w:val="auto"/>
          <w:sz w:val="32"/>
          <w:szCs w:val="32"/>
          <w:highlight w:val="none"/>
          <w:lang w:val="en-US" w:eastAsia="zh-CN"/>
        </w:rPr>
        <w:t>（四）为应对自然灾害、事故灾难、公共卫生事件、社会安全事件等突发事件需要紧急建设的政府投资项目，可以合并编制项目建议书、可行性研究报告、初步设计及概算，审批可行性研究报告（代项目建议书），</w:t>
      </w:r>
      <w:r>
        <w:rPr>
          <w:rFonts w:hint="eastAsia" w:ascii="Times New Roman PS Pro" w:hAnsi="Times New Roman PS Pro" w:eastAsia="仿宋_GB2312" w:cs="Times New Roman PS Pro"/>
          <w:b w:val="0"/>
          <w:bCs w:val="0"/>
          <w:color w:val="auto"/>
          <w:sz w:val="32"/>
          <w:szCs w:val="32"/>
          <w:highlight w:val="none"/>
          <w:lang w:val="en-US" w:eastAsia="zh-CN"/>
        </w:rPr>
        <w:t>并明确可行性研究报告达到初步设计要求。</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PS Pro" w:hAnsi="Times New Roman PS Pro" w:eastAsia="仿宋_GB2312" w:cs="Times New Roman PS Pro"/>
          <w:b w:val="0"/>
          <w:bCs w:val="0"/>
          <w:color w:val="auto"/>
          <w:sz w:val="32"/>
          <w:szCs w:val="32"/>
          <w:highlight w:val="none"/>
          <w:lang w:val="en-US" w:eastAsia="zh-CN"/>
        </w:rPr>
      </w:pPr>
      <w:r>
        <w:rPr>
          <w:rFonts w:hint="eastAsia" w:ascii="Times New Roman PS Pro" w:hAnsi="Times New Roman PS Pro" w:eastAsia="仿宋_GB2312" w:cs="Times New Roman PS Pro"/>
          <w:b w:val="0"/>
          <w:bCs w:val="0"/>
          <w:color w:val="auto"/>
          <w:sz w:val="32"/>
          <w:szCs w:val="32"/>
          <w:highlight w:val="none"/>
          <w:lang w:val="en-US" w:eastAsia="zh-CN"/>
        </w:rPr>
        <w:t>（五）国家有相关简化审批程序规定的，从其规定。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PS Pro" w:hAnsi="Times New Roman PS Pro" w:eastAsia="仿宋_GB2312" w:cs="Times New Roman PS Pro"/>
          <w:b w:val="0"/>
          <w:bCs w:val="0"/>
          <w:color w:val="auto"/>
          <w:sz w:val="32"/>
          <w:szCs w:val="32"/>
          <w:highlight w:val="none"/>
          <w:u w:val="none"/>
          <w:shd w:val="clear" w:color="auto" w:fill="auto"/>
        </w:rPr>
      </w:pP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PS Pro" w:hAnsi="Times New Roman PS Pro" w:eastAsia="黑体" w:cs="Times New Roman PS Pro"/>
          <w:b w:val="0"/>
          <w:bCs w:val="0"/>
          <w:color w:val="auto"/>
          <w:sz w:val="32"/>
          <w:szCs w:val="32"/>
          <w:highlight w:val="none"/>
          <w:u w:val="none"/>
          <w:shd w:val="clear" w:color="auto" w:fill="auto"/>
        </w:rPr>
      </w:pPr>
      <w:r>
        <w:rPr>
          <w:rFonts w:hint="default" w:ascii="Times New Roman PS Pro" w:hAnsi="Times New Roman PS Pro" w:eastAsia="黑体" w:cs="Times New Roman PS Pro"/>
          <w:b w:val="0"/>
          <w:bCs w:val="0"/>
          <w:color w:val="auto"/>
          <w:sz w:val="32"/>
          <w:szCs w:val="32"/>
          <w:highlight w:val="none"/>
          <w:u w:val="none"/>
          <w:shd w:val="clear" w:color="auto" w:fill="auto"/>
        </w:rPr>
        <w:t>第三章  政府投资年度计划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pP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第</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十</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三</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条</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计划编制</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PS Pro" w:hAnsi="Times New Roman PS Pro" w:eastAsia="仿宋_GB2312" w:cs="Times New Roman PS Pro"/>
          <w:b w:val="0"/>
          <w:bCs w:val="0"/>
          <w:color w:val="auto"/>
          <w:sz w:val="32"/>
          <w:szCs w:val="32"/>
          <w:highlight w:val="none"/>
          <w:u w:val="none"/>
          <w:shd w:val="clear" w:color="auto" w:fill="auto"/>
        </w:rPr>
        <w:t xml:space="preserve"> </w:t>
      </w:r>
      <w:r>
        <w:rPr>
          <w:rFonts w:hint="default" w:ascii="Times New Roman PS Pro" w:hAnsi="Times New Roman PS Pro" w:eastAsia="仿宋_GB2312" w:cs="Times New Roman PS Pro"/>
          <w:b w:val="0"/>
          <w:bCs w:val="0"/>
          <w:color w:val="auto"/>
          <w:sz w:val="32"/>
          <w:szCs w:val="32"/>
          <w:highlight w:val="none"/>
          <w:lang w:val="en-US" w:eastAsia="zh-CN"/>
        </w:rPr>
        <w:t>政府投资资金实行计划管理</w:t>
      </w:r>
      <w:r>
        <w:rPr>
          <w:rFonts w:hint="eastAsia" w:ascii="Times New Roman PS Pro" w:hAnsi="Times New Roman PS Pro" w:eastAsia="仿宋_GB2312" w:cs="Times New Roman PS Pro"/>
          <w:b w:val="0"/>
          <w:bCs w:val="0"/>
          <w:color w:val="auto"/>
          <w:sz w:val="32"/>
          <w:szCs w:val="32"/>
          <w:highlight w:val="none"/>
          <w:lang w:val="en-US" w:eastAsia="zh-CN"/>
        </w:rPr>
        <w:t>。县级以上人民</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政府投资主管部门对其负责安排的政府投资编制政府投资年度计划</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w:t>
      </w:r>
      <w:r>
        <w:rPr>
          <w:rFonts w:hint="eastAsia" w:ascii="Times New Roman PS Pro" w:hAnsi="Times New Roman PS Pro" w:eastAsia="仿宋_GB2312" w:cs="Times New Roman PS Pro"/>
          <w:b w:val="0"/>
          <w:bCs w:val="0"/>
          <w:color w:val="auto"/>
          <w:sz w:val="32"/>
          <w:szCs w:val="32"/>
          <w:highlight w:val="none"/>
          <w:lang w:val="en-US" w:eastAsia="zh-CN"/>
        </w:rPr>
        <w:t>县级以上人民政府</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行业主管部门对其负责的本行业、本领域的政府投资编制政府投资年度计划。</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pP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政府投资年度计划应经本级政府同意后，报请同级党委审定，</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未列入计划的政府投资项目不得实施。</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政府投资年度计划可根据实际需要按程序报批后进行动态调整。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pP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第</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十四</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条</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计划内容</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PS Pro" w:hAnsi="Times New Roman PS Pro" w:eastAsia="仿宋_GB2312" w:cs="Times New Roman PS Pro"/>
          <w:b w:val="0"/>
          <w:bCs w:val="0"/>
          <w:color w:val="auto"/>
          <w:sz w:val="32"/>
          <w:szCs w:val="32"/>
          <w:highlight w:val="none"/>
          <w:u w:val="none"/>
          <w:shd w:val="clear" w:color="auto" w:fill="auto"/>
        </w:rPr>
        <w:t xml:space="preserve"> 政府投资年度计划应当明确项目名称、建设地点、建设内容及规模、建设工期、项目总投资、年度投资额及资金来源</w:t>
      </w:r>
      <w:r>
        <w:rPr>
          <w:rFonts w:hint="default" w:ascii="Times New Roman PS Pro" w:hAnsi="Times New Roman PS Pro" w:eastAsia="仿宋_GB2312" w:cs="Times New Roman PS Pro"/>
          <w:b w:val="0"/>
          <w:bCs w:val="0"/>
          <w:color w:val="auto"/>
          <w:sz w:val="32"/>
          <w:szCs w:val="32"/>
          <w:highlight w:val="none"/>
          <w:lang w:val="en-US" w:eastAsia="zh-CN"/>
        </w:rPr>
        <w:t>、</w:t>
      </w:r>
      <w:r>
        <w:rPr>
          <w:rFonts w:hint="default" w:ascii="Times New Roman PS Pro" w:hAnsi="Times New Roman PS Pro" w:eastAsia="仿宋_GB2312" w:cs="Times New Roman PS Pro"/>
          <w:b w:val="0"/>
          <w:bCs w:val="0"/>
          <w:color w:val="auto"/>
          <w:sz w:val="32"/>
          <w:szCs w:val="32"/>
          <w:highlight w:val="none"/>
          <w:lang w:val="en-US" w:eastAsia="zh-CN"/>
        </w:rPr>
        <w:t>项目单位</w:t>
      </w:r>
      <w:r>
        <w:rPr>
          <w:rFonts w:hint="eastAsia" w:ascii="Times New Roman PS Pro" w:hAnsi="Times New Roman PS Pro" w:eastAsia="仿宋_GB2312" w:cs="Times New Roman PS Pro"/>
          <w:b w:val="0"/>
          <w:bCs w:val="0"/>
          <w:color w:val="auto"/>
          <w:sz w:val="32"/>
          <w:szCs w:val="32"/>
          <w:highlight w:val="none"/>
          <w:lang w:val="en-US" w:eastAsia="zh-CN"/>
        </w:rPr>
        <w:t>及责任人</w:t>
      </w:r>
      <w:r>
        <w:rPr>
          <w:rFonts w:hint="default" w:ascii="Times New Roman PS Pro" w:hAnsi="Times New Roman PS Pro" w:eastAsia="仿宋_GB2312" w:cs="Times New Roman PS Pro"/>
          <w:b w:val="0"/>
          <w:bCs w:val="0"/>
          <w:color w:val="auto"/>
          <w:sz w:val="32"/>
          <w:szCs w:val="32"/>
          <w:highlight w:val="none"/>
          <w:lang w:val="en-US" w:eastAsia="zh-CN"/>
        </w:rPr>
        <w:t>、日常监管责任单位及监管责任人等</w:t>
      </w:r>
      <w:r>
        <w:rPr>
          <w:rFonts w:hint="default" w:ascii="Times New Roman PS Pro" w:hAnsi="Times New Roman PS Pro" w:eastAsia="仿宋_GB2312" w:cs="Times New Roman PS Pro"/>
          <w:b w:val="0"/>
          <w:bCs w:val="0"/>
          <w:color w:val="auto"/>
          <w:sz w:val="32"/>
          <w:szCs w:val="32"/>
          <w:highlight w:val="none"/>
          <w:u w:val="none"/>
          <w:shd w:val="clear" w:color="auto" w:fill="auto"/>
        </w:rPr>
        <w:t>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PS Pro" w:hAnsi="Times New Roman PS Pro" w:eastAsia="仿宋_GB2312" w:cs="Times New Roman PS Pro"/>
          <w:b w:val="0"/>
          <w:bCs w:val="0"/>
          <w:color w:val="auto"/>
          <w:sz w:val="32"/>
          <w:szCs w:val="32"/>
          <w:highlight w:val="none"/>
          <w:u w:val="none"/>
          <w:shd w:val="clear" w:color="auto" w:fill="auto"/>
        </w:rPr>
      </w:pP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第</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十五</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条</w:t>
      </w:r>
      <w:r>
        <w:rPr>
          <w:rFonts w:hint="eastAsia" w:ascii="仿宋_GB2312" w:hAnsi="仿宋_GB2312" w:eastAsia="仿宋_GB2312" w:cs="仿宋_GB2312"/>
          <w:b w:val="0"/>
          <w:bCs w:val="0"/>
          <w:color w:val="auto"/>
          <w:sz w:val="32"/>
          <w:szCs w:val="32"/>
          <w:highlight w:val="none"/>
          <w:lang w:val="en-US" w:eastAsia="zh-CN"/>
        </w:rPr>
        <w:t>【纳入</w:t>
      </w:r>
      <w:r>
        <w:rPr>
          <w:rFonts w:hint="eastAsia" w:ascii="仿宋_GB2312" w:hAnsi="仿宋_GB2312" w:eastAsia="仿宋_GB2312" w:cs="仿宋_GB2312"/>
          <w:b w:val="0"/>
          <w:bCs w:val="0"/>
          <w:color w:val="auto"/>
          <w:sz w:val="32"/>
          <w:szCs w:val="32"/>
          <w:highlight w:val="none"/>
        </w:rPr>
        <w:t>条件</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PS Pro" w:hAnsi="Times New Roman PS Pro" w:eastAsia="仿宋_GB2312" w:cs="Times New Roman PS Pro"/>
          <w:b w:val="0"/>
          <w:bCs w:val="0"/>
          <w:color w:val="auto"/>
          <w:sz w:val="32"/>
          <w:szCs w:val="32"/>
          <w:highlight w:val="none"/>
          <w:u w:val="none"/>
          <w:shd w:val="clear" w:color="auto" w:fill="auto"/>
        </w:rPr>
        <w:t xml:space="preserve"> 列入政府投资年度计划的项目应当符合下列条件：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PS Pro" w:hAnsi="Times New Roman PS Pro" w:eastAsia="仿宋_GB2312" w:cs="Times New Roman PS Pro"/>
          <w:b w:val="0"/>
          <w:bCs w:val="0"/>
          <w:color w:val="auto"/>
          <w:sz w:val="32"/>
          <w:szCs w:val="32"/>
          <w:highlight w:val="none"/>
          <w:u w:val="none"/>
          <w:shd w:val="clear" w:color="auto" w:fill="auto"/>
        </w:rPr>
      </w:pPr>
      <w:r>
        <w:rPr>
          <w:rFonts w:hint="eastAsia" w:ascii="Times New Roman PS Pro" w:hAnsi="Times New Roman PS Pro" w:eastAsia="仿宋_GB2312" w:cs="Times New Roman PS Pro"/>
          <w:b w:val="0"/>
          <w:bCs w:val="0"/>
          <w:color w:val="auto"/>
          <w:sz w:val="32"/>
          <w:szCs w:val="32"/>
          <w:highlight w:val="none"/>
          <w:u w:val="none"/>
          <w:shd w:val="clear" w:color="auto" w:fill="auto"/>
        </w:rPr>
        <w:t>（一）采取直接投资、资本金注入方式的，可行性研究报告已经批准或者投资概算已经核定；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pPr>
      <w:r>
        <w:rPr>
          <w:rFonts w:hint="eastAsia" w:ascii="Times New Roman PS Pro" w:hAnsi="Times New Roman PS Pro" w:eastAsia="仿宋_GB2312" w:cs="Times New Roman PS Pro"/>
          <w:b w:val="0"/>
          <w:bCs w:val="0"/>
          <w:color w:val="auto"/>
          <w:sz w:val="32"/>
          <w:szCs w:val="32"/>
          <w:highlight w:val="none"/>
          <w:u w:val="none"/>
          <w:shd w:val="clear" w:color="auto" w:fill="auto"/>
        </w:rPr>
        <w:t>（二）采取投资补助、贷款贴息等方式的，已经按照国家和</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自治区</w:t>
      </w:r>
      <w:r>
        <w:rPr>
          <w:rFonts w:hint="eastAsia" w:ascii="Times New Roman PS Pro" w:hAnsi="Times New Roman PS Pro" w:eastAsia="仿宋_GB2312" w:cs="Times New Roman PS Pro"/>
          <w:b w:val="0"/>
          <w:bCs w:val="0"/>
          <w:color w:val="auto"/>
          <w:sz w:val="32"/>
          <w:szCs w:val="32"/>
          <w:highlight w:val="none"/>
          <w:u w:val="none"/>
          <w:shd w:val="clear" w:color="auto" w:fill="auto"/>
        </w:rPr>
        <w:t>有关规定办理手续</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PS Pro" w:hAnsi="Times New Roman PS Pro" w:eastAsia="仿宋_GB2312" w:cs="Times New Roman PS Pro"/>
          <w:b w:val="0"/>
          <w:bCs w:val="0"/>
          <w:color w:val="auto"/>
          <w:sz w:val="32"/>
          <w:szCs w:val="32"/>
          <w:highlight w:val="none"/>
          <w:u w:val="none"/>
          <w:shd w:val="clear" w:color="auto" w:fill="auto"/>
        </w:rPr>
      </w:pP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（三）</w:t>
      </w:r>
      <w:r>
        <w:rPr>
          <w:rFonts w:hint="default" w:ascii="Times New Roman PS Pro" w:hAnsi="Times New Roman PS Pro" w:eastAsia="仿宋_GB2312" w:cs="Times New Roman PS Pro"/>
          <w:b w:val="0"/>
          <w:bCs w:val="0"/>
          <w:color w:val="auto"/>
          <w:sz w:val="32"/>
          <w:szCs w:val="32"/>
          <w:highlight w:val="none"/>
          <w:u w:val="none"/>
          <w:shd w:val="clear" w:color="auto" w:fill="auto"/>
        </w:rPr>
        <w:t>县级以上人民政府有关部门规定的其他条件。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PS Pro" w:hAnsi="Times New Roman PS Pro" w:eastAsia="仿宋_GB2312" w:cs="Times New Roman PS Pro"/>
          <w:b w:val="0"/>
          <w:bCs w:val="0"/>
          <w:color w:val="auto"/>
          <w:sz w:val="32"/>
          <w:szCs w:val="32"/>
          <w:highlight w:val="none"/>
          <w:u w:val="none"/>
          <w:shd w:val="clear" w:color="auto" w:fill="auto"/>
        </w:rPr>
      </w:pP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第</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十六</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条</w:t>
      </w:r>
      <w:r>
        <w:rPr>
          <w:rFonts w:hint="eastAsia" w:ascii="仿宋_GB2312" w:hAnsi="仿宋_GB2312" w:eastAsia="仿宋_GB2312" w:cs="仿宋_GB2312"/>
          <w:b w:val="0"/>
          <w:bCs w:val="0"/>
          <w:color w:val="auto"/>
          <w:sz w:val="32"/>
          <w:szCs w:val="32"/>
          <w:highlight w:val="none"/>
          <w:lang w:val="en-US" w:eastAsia="zh-CN"/>
        </w:rPr>
        <w:t>【资金拨付与计划执行】</w:t>
      </w:r>
      <w:r>
        <w:rPr>
          <w:rFonts w:hint="default" w:ascii="Times New Roman PS Pro" w:hAnsi="Times New Roman PS Pro" w:eastAsia="仿宋_GB2312" w:cs="Times New Roman PS Pro"/>
          <w:b w:val="0"/>
          <w:bCs w:val="0"/>
          <w:color w:val="auto"/>
          <w:sz w:val="32"/>
          <w:szCs w:val="32"/>
          <w:highlight w:val="none"/>
          <w:lang w:val="en-US" w:eastAsia="zh-CN"/>
        </w:rPr>
        <w:t xml:space="preserve"> 政府投资年度计划应当和本级预算相衔接</w:t>
      </w:r>
      <w:r>
        <w:rPr>
          <w:rFonts w:hint="eastAsia" w:ascii="Times New Roman PS Pro" w:hAnsi="Times New Roman PS Pro" w:eastAsia="仿宋_GB2312" w:cs="Times New Roman PS Pro"/>
          <w:b w:val="0"/>
          <w:bCs w:val="0"/>
          <w:color w:val="auto"/>
          <w:sz w:val="32"/>
          <w:szCs w:val="32"/>
          <w:highlight w:val="none"/>
          <w:lang w:val="en-US" w:eastAsia="zh-CN"/>
        </w:rPr>
        <w:t>。</w:t>
      </w:r>
      <w:r>
        <w:rPr>
          <w:rFonts w:hint="default" w:ascii="Times New Roman PS Pro" w:hAnsi="Times New Roman PS Pro" w:eastAsia="仿宋_GB2312" w:cs="Times New Roman PS Pro"/>
          <w:b w:val="0"/>
          <w:bCs w:val="0"/>
          <w:color w:val="auto"/>
          <w:sz w:val="32"/>
          <w:szCs w:val="32"/>
          <w:highlight w:val="none"/>
          <w:u w:val="none"/>
          <w:shd w:val="clear" w:color="auto" w:fill="auto"/>
        </w:rPr>
        <w:t>政府投资年度计划一经下达，应当严格执行。财政部门应当根据经批准的预算</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和下达投资计划</w:t>
      </w:r>
      <w:r>
        <w:rPr>
          <w:rFonts w:hint="default" w:ascii="Times New Roman PS Pro" w:hAnsi="Times New Roman PS Pro" w:eastAsia="仿宋_GB2312" w:cs="Times New Roman PS Pro"/>
          <w:b w:val="0"/>
          <w:bCs w:val="0"/>
          <w:color w:val="auto"/>
          <w:sz w:val="32"/>
          <w:szCs w:val="32"/>
          <w:highlight w:val="none"/>
          <w:u w:val="none"/>
          <w:shd w:val="clear" w:color="auto" w:fill="auto"/>
        </w:rPr>
        <w:t>，按照法律、行政法规和国库管理的有关规定，及时、足额办理政府投资资金拨付，不得擅自调整、整合。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PS Pro" w:hAnsi="Times New Roman PS Pro" w:eastAsia="仿宋_GB2312" w:cs="Times New Roman PS Pro"/>
          <w:b w:val="0"/>
          <w:b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PS Pro" w:hAnsi="Times New Roman PS Pro" w:eastAsia="黑体" w:cs="Times New Roman PS Pro"/>
          <w:b w:val="0"/>
          <w:bCs w:val="0"/>
          <w:color w:val="auto"/>
          <w:sz w:val="32"/>
          <w:szCs w:val="32"/>
          <w:highlight w:val="none"/>
          <w:u w:val="none"/>
          <w:shd w:val="clear" w:color="auto" w:fill="auto"/>
        </w:rPr>
      </w:pPr>
      <w:r>
        <w:rPr>
          <w:rFonts w:hint="default" w:ascii="Times New Roman PS Pro" w:hAnsi="Times New Roman PS Pro" w:eastAsia="黑体" w:cs="Times New Roman PS Pro"/>
          <w:b w:val="0"/>
          <w:bCs w:val="0"/>
          <w:color w:val="auto"/>
          <w:sz w:val="32"/>
          <w:szCs w:val="32"/>
          <w:highlight w:val="none"/>
          <w:u w:val="none"/>
          <w:shd w:val="clear" w:color="auto" w:fill="auto"/>
        </w:rPr>
        <w:t>第四章  政府投资项目的实施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PS Pro" w:hAnsi="Times New Roman PS Pro" w:eastAsia="仿宋_GB2312" w:cs="Times New Roman PS Pro"/>
          <w:b w:val="0"/>
          <w:bCs w:val="0"/>
          <w:color w:val="auto"/>
          <w:sz w:val="32"/>
          <w:szCs w:val="32"/>
          <w:highlight w:val="none"/>
          <w:lang w:val="en-US" w:eastAsia="zh-CN"/>
        </w:rPr>
      </w:pP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第</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十七</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条</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开工</w:t>
      </w:r>
      <w:r>
        <w:rPr>
          <w:rFonts w:hint="eastAsia" w:ascii="仿宋_GB2312" w:hAnsi="仿宋_GB2312" w:eastAsia="仿宋_GB2312" w:cs="仿宋_GB2312"/>
          <w:b w:val="0"/>
          <w:bCs w:val="0"/>
          <w:color w:val="auto"/>
          <w:sz w:val="32"/>
          <w:szCs w:val="32"/>
          <w:highlight w:val="none"/>
          <w:lang w:val="en-US" w:eastAsia="zh-CN"/>
        </w:rPr>
        <w:t>建设】</w:t>
      </w:r>
      <w:r>
        <w:rPr>
          <w:rFonts w:hint="default" w:ascii="Times New Roman PS Pro" w:hAnsi="Times New Roman PS Pro" w:eastAsia="仿宋_GB2312" w:cs="Times New Roman PS Pro"/>
          <w:b w:val="0"/>
          <w:bCs w:val="0"/>
          <w:color w:val="auto"/>
          <w:sz w:val="32"/>
          <w:szCs w:val="32"/>
          <w:highlight w:val="none"/>
          <w:u w:val="none"/>
          <w:shd w:val="clear" w:color="auto" w:fill="auto"/>
        </w:rPr>
        <w:t xml:space="preserve"> 政府投资项目开工建设，应当符合本</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办法</w:t>
      </w:r>
      <w:r>
        <w:rPr>
          <w:rFonts w:hint="default" w:ascii="Times New Roman PS Pro" w:hAnsi="Times New Roman PS Pro" w:eastAsia="仿宋_GB2312" w:cs="Times New Roman PS Pro"/>
          <w:b w:val="0"/>
          <w:bCs w:val="0"/>
          <w:color w:val="auto"/>
          <w:sz w:val="32"/>
          <w:szCs w:val="32"/>
          <w:highlight w:val="none"/>
          <w:u w:val="none"/>
          <w:shd w:val="clear" w:color="auto" w:fill="auto"/>
        </w:rPr>
        <w:t>和有关法律、行政法规规定的建设条件；不符合规定建设条件的</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w:t>
      </w:r>
      <w:r>
        <w:rPr>
          <w:rFonts w:hint="default" w:ascii="Times New Roman PS Pro" w:hAnsi="Times New Roman PS Pro" w:eastAsia="仿宋_GB2312" w:cs="Times New Roman PS Pro"/>
          <w:b w:val="0"/>
          <w:bCs w:val="0"/>
          <w:color w:val="auto"/>
          <w:sz w:val="32"/>
          <w:szCs w:val="32"/>
          <w:highlight w:val="none"/>
          <w:u w:val="none"/>
          <w:shd w:val="clear" w:color="auto" w:fill="auto"/>
        </w:rPr>
        <w:t>不得开工建设</w:t>
      </w:r>
      <w:r>
        <w:rPr>
          <w:rFonts w:hint="eastAsia" w:ascii="Times New Roman PS Pro" w:hAnsi="Times New Roman PS Pro" w:eastAsia="仿宋_GB2312" w:cs="Times New Roman PS Pro"/>
          <w:b w:val="0"/>
          <w:bCs w:val="0"/>
          <w:color w:val="auto"/>
          <w:sz w:val="32"/>
          <w:szCs w:val="32"/>
          <w:highlight w:val="none"/>
          <w:lang w:val="en-US" w:eastAsia="zh-CN"/>
        </w:rPr>
        <w:t>；</w:t>
      </w:r>
      <w:r>
        <w:rPr>
          <w:rFonts w:hint="eastAsia" w:ascii="Times New Roman PS Pro" w:hAnsi="Times New Roman PS Pro" w:eastAsia="仿宋_GB2312" w:cs="Times New Roman PS Pro"/>
          <w:b w:val="0"/>
          <w:bCs w:val="0"/>
          <w:color w:val="auto"/>
          <w:sz w:val="32"/>
          <w:szCs w:val="32"/>
          <w:highlight w:val="none"/>
          <w:lang w:val="en-US" w:eastAsia="zh-CN"/>
        </w:rPr>
        <w:t>严禁未批先建、边批边建。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PS Pro" w:hAnsi="Times New Roman PS Pro" w:eastAsia="仿宋_GB2312" w:cs="Times New Roman PS Pro"/>
          <w:b w:val="0"/>
          <w:bCs w:val="0"/>
          <w:color w:val="auto"/>
          <w:sz w:val="32"/>
          <w:szCs w:val="32"/>
          <w:highlight w:val="none"/>
          <w:u w:val="none"/>
          <w:shd w:val="clear" w:color="auto" w:fill="auto"/>
        </w:rPr>
      </w:pPr>
      <w:r>
        <w:rPr>
          <w:rFonts w:hint="default" w:ascii="Times New Roman" w:hAnsi="Times New Roman" w:eastAsia="仿宋_GB2312" w:cs="Times New Roman"/>
          <w:b w:val="0"/>
          <w:bCs w:val="0"/>
          <w:color w:val="auto"/>
          <w:kern w:val="2"/>
          <w:sz w:val="32"/>
          <w:szCs w:val="32"/>
          <w:highlight w:val="none"/>
          <w:lang w:val="en-US" w:eastAsia="zh-CN" w:bidi="ar-SA"/>
        </w:rPr>
        <w:t>项目单位</w:t>
      </w:r>
      <w:r>
        <w:rPr>
          <w:rFonts w:hint="default" w:ascii="Times New Roman PS Pro" w:hAnsi="Times New Roman PS Pro" w:eastAsia="仿宋_GB2312" w:cs="Times New Roman PS Pro"/>
          <w:b w:val="0"/>
          <w:bCs w:val="0"/>
          <w:color w:val="auto"/>
          <w:sz w:val="32"/>
          <w:szCs w:val="32"/>
          <w:highlight w:val="none"/>
          <w:u w:val="none"/>
          <w:shd w:val="clear" w:color="auto" w:fill="auto"/>
        </w:rPr>
        <w:t>应当按照国家</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和</w:t>
      </w:r>
      <w:r>
        <w:rPr>
          <w:rFonts w:hint="default" w:ascii="Times New Roman PS Pro" w:hAnsi="Times New Roman PS Pro" w:eastAsia="仿宋_GB2312" w:cs="Times New Roman PS Pro"/>
          <w:b w:val="0"/>
          <w:bCs w:val="0"/>
          <w:color w:val="auto"/>
          <w:sz w:val="32"/>
          <w:szCs w:val="32"/>
          <w:highlight w:val="none"/>
          <w:u w:val="none"/>
          <w:shd w:val="clear" w:color="auto" w:fill="auto"/>
        </w:rPr>
        <w:t>自治区有关</w:t>
      </w:r>
      <w:r>
        <w:rPr>
          <w:rFonts w:hint="default" w:ascii="Times New Roman PS Pro" w:hAnsi="Times New Roman PS Pro" w:eastAsia="仿宋_GB2312" w:cs="Times New Roman PS Pro"/>
          <w:b w:val="0"/>
          <w:bCs w:val="0"/>
          <w:color w:val="auto"/>
          <w:sz w:val="32"/>
          <w:szCs w:val="32"/>
          <w:highlight w:val="none"/>
          <w:u w:val="none"/>
          <w:shd w:val="clear" w:color="auto" w:fill="auto"/>
        </w:rPr>
        <w:t>规定</w:t>
      </w:r>
      <w:r>
        <w:rPr>
          <w:rFonts w:hint="default" w:ascii="Times New Roman PS Pro" w:hAnsi="Times New Roman PS Pro" w:eastAsia="仿宋_GB2312" w:cs="Times New Roman PS Pro"/>
          <w:b w:val="0"/>
          <w:bCs w:val="0"/>
          <w:color w:val="auto"/>
          <w:sz w:val="32"/>
          <w:szCs w:val="32"/>
          <w:highlight w:val="none"/>
          <w:u w:val="none"/>
          <w:shd w:val="clear" w:color="auto" w:fill="auto"/>
        </w:rPr>
        <w:t>合理确定并严格执行建设工期，任何单位和个人不得非法干预。</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b w:val="0"/>
          <w:bCs w:val="0"/>
          <w:color w:val="auto"/>
          <w:sz w:val="32"/>
          <w:szCs w:val="32"/>
          <w:highlight w:val="none"/>
          <w:lang w:val="en-US" w:eastAsia="zh-CN"/>
        </w:rPr>
      </w:pP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第</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十八</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条</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项目实施</w:t>
      </w:r>
      <w:r>
        <w:rPr>
          <w:rFonts w:hint="eastAsia" w:ascii="仿宋_GB2312" w:hAnsi="仿宋_GB2312" w:eastAsia="仿宋_GB2312" w:cs="仿宋_GB2312"/>
          <w:b w:val="0"/>
          <w:bCs w:val="0"/>
          <w:color w:val="auto"/>
          <w:sz w:val="32"/>
          <w:szCs w:val="32"/>
          <w:highlight w:val="none"/>
          <w:lang w:val="en-US" w:eastAsia="zh-CN"/>
        </w:rPr>
        <w:t>与变更管理】</w:t>
      </w:r>
      <w:r>
        <w:rPr>
          <w:rFonts w:hint="default" w:ascii="Times New Roman PS Pro" w:hAnsi="Times New Roman PS Pro" w:eastAsia="仿宋_GB2312" w:cs="Times New Roman PS Pro"/>
          <w:b w:val="0"/>
          <w:bCs w:val="0"/>
          <w:color w:val="auto"/>
          <w:sz w:val="32"/>
          <w:szCs w:val="32"/>
          <w:highlight w:val="none"/>
          <w:u w:val="none"/>
          <w:shd w:val="clear" w:color="auto" w:fill="auto"/>
        </w:rPr>
        <w:t xml:space="preserve"> </w:t>
      </w:r>
      <w:r>
        <w:rPr>
          <w:rFonts w:hint="default" w:ascii="Times New Roman" w:hAnsi="Times New Roman" w:eastAsia="仿宋_GB2312"/>
          <w:b w:val="0"/>
          <w:bCs w:val="0"/>
          <w:color w:val="auto"/>
          <w:sz w:val="32"/>
          <w:szCs w:val="32"/>
          <w:highlight w:val="none"/>
          <w:lang w:val="en-US" w:eastAsia="zh-CN"/>
        </w:rPr>
        <w:t>政府投资项目应当按照投资主管部门</w:t>
      </w:r>
      <w:r>
        <w:rPr>
          <w:rFonts w:hint="eastAsia" w:ascii="Times New Roman" w:hAnsi="Times New Roman" w:eastAsia="仿宋_GB2312"/>
          <w:b w:val="0"/>
          <w:bCs w:val="0"/>
          <w:color w:val="auto"/>
          <w:sz w:val="32"/>
          <w:szCs w:val="32"/>
          <w:highlight w:val="none"/>
          <w:lang w:val="en-US" w:eastAsia="zh-CN"/>
        </w:rPr>
        <w:t>或者其他有关部门</w:t>
      </w:r>
      <w:r>
        <w:rPr>
          <w:rFonts w:hint="default" w:ascii="Times New Roman" w:hAnsi="Times New Roman" w:eastAsia="仿宋_GB2312"/>
          <w:b w:val="0"/>
          <w:bCs w:val="0"/>
          <w:color w:val="auto"/>
          <w:sz w:val="32"/>
          <w:szCs w:val="32"/>
          <w:highlight w:val="none"/>
          <w:lang w:val="en-US" w:eastAsia="zh-CN"/>
        </w:rPr>
        <w:t>批准的</w:t>
      </w:r>
      <w:r>
        <w:rPr>
          <w:rFonts w:hint="eastAsia" w:ascii="Times New Roman" w:hAnsi="Times New Roman" w:eastAsia="仿宋_GB2312"/>
          <w:b w:val="0"/>
          <w:bCs w:val="0"/>
          <w:color w:val="auto"/>
          <w:sz w:val="32"/>
          <w:szCs w:val="32"/>
          <w:highlight w:val="none"/>
          <w:lang w:val="en-US" w:eastAsia="zh-CN"/>
        </w:rPr>
        <w:t>建设主体、建设内容、建设规模、建设标准实施，不得出现</w:t>
      </w:r>
      <w:r>
        <w:rPr>
          <w:rFonts w:hint="eastAsia" w:ascii="仿宋_GB2312" w:hAnsi="仿宋_GB2312" w:eastAsia="仿宋_GB2312" w:cs="仿宋_GB2312"/>
          <w:b w:val="0"/>
          <w:bCs w:val="0"/>
          <w:color w:val="auto"/>
          <w:sz w:val="32"/>
          <w:szCs w:val="32"/>
          <w:highlight w:val="none"/>
          <w:lang w:eastAsia="zh-CN"/>
        </w:rPr>
        <w:t>“申报项目大、建设项目小”、违规建设楼堂馆所、建设“形象工程”“政绩工程”等问题。</w:t>
      </w:r>
      <w:r>
        <w:rPr>
          <w:rFonts w:hint="eastAsia" w:ascii="仿宋_GB2312" w:hAnsi="仿宋_GB2312" w:eastAsia="仿宋_GB2312" w:cs="仿宋_GB2312"/>
          <w:b w:val="0"/>
          <w:bCs w:val="0"/>
          <w:color w:val="auto"/>
          <w:sz w:val="32"/>
          <w:szCs w:val="32"/>
          <w:highlight w:val="none"/>
        </w:rPr>
        <w:t>严格执行安全生产和工程质量法</w:t>
      </w:r>
      <w:r>
        <w:rPr>
          <w:rFonts w:hint="eastAsia" w:ascii="仿宋_GB2312" w:hAnsi="仿宋_GB2312" w:eastAsia="仿宋_GB2312" w:cs="仿宋_GB2312"/>
          <w:b w:val="0"/>
          <w:bCs w:val="0"/>
          <w:color w:val="auto"/>
          <w:sz w:val="32"/>
          <w:szCs w:val="32"/>
          <w:highlight w:val="none"/>
          <w:lang w:eastAsia="zh-CN"/>
        </w:rPr>
        <w:t>律</w:t>
      </w:r>
      <w:r>
        <w:rPr>
          <w:rFonts w:hint="eastAsia" w:ascii="仿宋_GB2312" w:hAnsi="仿宋_GB2312" w:eastAsia="仿宋_GB2312" w:cs="仿宋_GB2312"/>
          <w:b w:val="0"/>
          <w:bCs w:val="0"/>
          <w:color w:val="auto"/>
          <w:sz w:val="32"/>
          <w:szCs w:val="32"/>
          <w:highlight w:val="none"/>
        </w:rPr>
        <w:t>法规，确保项目建设质量和安全。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 w:val="0"/>
          <w:bCs w:val="0"/>
          <w:color w:val="auto"/>
          <w:sz w:val="32"/>
          <w:szCs w:val="32"/>
          <w:highlight w:val="none"/>
          <w:lang w:val="en-US" w:eastAsia="zh-CN"/>
        </w:rPr>
      </w:pPr>
      <w:r>
        <w:rPr>
          <w:rFonts w:hint="eastAsia" w:ascii="Times New Roman" w:hAnsi="Times New Roman" w:eastAsia="仿宋_GB2312"/>
          <w:b w:val="0"/>
          <w:bCs w:val="0"/>
          <w:color w:val="auto"/>
          <w:sz w:val="32"/>
          <w:szCs w:val="32"/>
          <w:highlight w:val="none"/>
          <w:lang w:val="en-US" w:eastAsia="zh-CN"/>
        </w:rPr>
        <w:t>拟变更项目单位、建设地点或者拟对建设规模、建设内容等作较大变更的，应当按照规定的程序报原可行性研究报告审批部门审批，行业管理部门有相关规定的从其规定。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b w:val="0"/>
          <w:bCs w:val="0"/>
          <w:color w:val="auto"/>
          <w:sz w:val="32"/>
          <w:szCs w:val="32"/>
          <w:highlight w:val="none"/>
          <w:lang w:val="en-US" w:eastAsia="zh-CN"/>
        </w:rPr>
      </w:pP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第</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十九</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条</w:t>
      </w:r>
      <w:r>
        <w:rPr>
          <w:rFonts w:hint="eastAsia" w:ascii="仿宋_GB2312" w:hAnsi="仿宋_GB2312" w:eastAsia="仿宋_GB2312" w:cs="仿宋_GB2312"/>
          <w:b w:val="0"/>
          <w:bCs w:val="0"/>
          <w:color w:val="auto"/>
          <w:sz w:val="32"/>
          <w:szCs w:val="32"/>
          <w:highlight w:val="none"/>
          <w:lang w:val="en-US" w:eastAsia="zh-CN"/>
        </w:rPr>
        <w:t>【资金落实】</w:t>
      </w:r>
      <w:r>
        <w:rPr>
          <w:rFonts w:hint="default" w:ascii="Times New Roman PS Pro" w:hAnsi="Times New Roman PS Pro" w:eastAsia="仿宋_GB2312" w:cs="Times New Roman PS Pro"/>
          <w:b w:val="0"/>
          <w:bCs w:val="0"/>
          <w:color w:val="auto"/>
          <w:sz w:val="32"/>
          <w:szCs w:val="32"/>
          <w:highlight w:val="none"/>
          <w:u w:val="none"/>
          <w:shd w:val="clear" w:color="auto" w:fill="auto"/>
        </w:rPr>
        <w:t xml:space="preserve"> 政府投资项目所需资金应当按照国家</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和自治区</w:t>
      </w:r>
      <w:r>
        <w:rPr>
          <w:rFonts w:hint="default" w:ascii="Times New Roman PS Pro" w:hAnsi="Times New Roman PS Pro" w:eastAsia="仿宋_GB2312" w:cs="Times New Roman PS Pro"/>
          <w:b w:val="0"/>
          <w:bCs w:val="0"/>
          <w:color w:val="auto"/>
          <w:sz w:val="32"/>
          <w:szCs w:val="32"/>
          <w:highlight w:val="none"/>
          <w:u w:val="none"/>
          <w:shd w:val="clear" w:color="auto" w:fill="auto"/>
        </w:rPr>
        <w:t>有关规定确保落实到位。</w:t>
      </w:r>
      <w:r>
        <w:rPr>
          <w:rFonts w:hint="default" w:ascii="Times New Roman" w:hAnsi="Times New Roman" w:eastAsia="仿宋_GB2312"/>
          <w:b w:val="0"/>
          <w:bCs w:val="0"/>
          <w:color w:val="auto"/>
          <w:sz w:val="32"/>
          <w:szCs w:val="32"/>
          <w:highlight w:val="none"/>
          <w:lang w:val="en-US" w:eastAsia="zh-CN"/>
        </w:rPr>
        <w:t>项目单位应当按工程进度、合同约定等及时拨付建设资金，不得违规举债、不得增加政府隐性债务、不得由施工单位垫资建设</w:t>
      </w:r>
      <w:r>
        <w:rPr>
          <w:rFonts w:hint="eastAsia" w:ascii="Times New Roman" w:hAnsi="Times New Roman" w:eastAsia="仿宋_GB2312"/>
          <w:b w:val="0"/>
          <w:bCs w:val="0"/>
          <w:color w:val="auto"/>
          <w:sz w:val="32"/>
          <w:szCs w:val="32"/>
          <w:highlight w:val="none"/>
          <w:lang w:val="en-US" w:eastAsia="zh-CN"/>
        </w:rPr>
        <w:t>、不得</w:t>
      </w:r>
      <w:r>
        <w:rPr>
          <w:rFonts w:hint="eastAsia" w:ascii="仿宋_GB2312" w:hAnsi="仿宋_GB2312" w:eastAsia="仿宋_GB2312" w:cs="仿宋_GB2312"/>
          <w:b w:val="0"/>
          <w:bCs w:val="0"/>
          <w:color w:val="auto"/>
          <w:sz w:val="32"/>
          <w:szCs w:val="32"/>
          <w:highlight w:val="none"/>
          <w:lang w:eastAsia="zh-CN"/>
        </w:rPr>
        <w:t>拖欠中小微企业账款。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PS Pro" w:hAnsi="Times New Roman PS Pro" w:eastAsia="仿宋_GB2312" w:cs="Times New Roman PS Pro"/>
          <w:b w:val="0"/>
          <w:bCs w:val="0"/>
          <w:color w:val="auto"/>
          <w:sz w:val="32"/>
          <w:szCs w:val="32"/>
          <w:highlight w:val="none"/>
          <w:u w:val="none"/>
          <w:shd w:val="clear" w:color="auto" w:fill="auto"/>
        </w:rPr>
      </w:pPr>
      <w:r>
        <w:rPr>
          <w:rFonts w:hint="eastAsia" w:ascii="Times New Roman" w:hAnsi="Times New Roman" w:eastAsia="仿宋_GB2312"/>
          <w:b w:val="0"/>
          <w:bCs w:val="0"/>
          <w:color w:val="auto"/>
          <w:sz w:val="32"/>
          <w:szCs w:val="32"/>
          <w:highlight w:val="none"/>
          <w:lang w:val="en-US" w:eastAsia="zh-CN"/>
        </w:rPr>
        <w:t>第二十条</w:t>
      </w:r>
      <w:r>
        <w:rPr>
          <w:rFonts w:hint="eastAsia" w:ascii="仿宋_GB2312" w:hAnsi="仿宋_GB2312" w:eastAsia="仿宋_GB2312" w:cs="仿宋_GB2312"/>
          <w:b w:val="0"/>
          <w:bCs w:val="0"/>
          <w:color w:val="auto"/>
          <w:sz w:val="32"/>
          <w:szCs w:val="32"/>
          <w:highlight w:val="none"/>
          <w:lang w:val="en-US" w:eastAsia="zh-CN"/>
        </w:rPr>
        <w:t>【概算调整】</w:t>
      </w:r>
      <w:r>
        <w:rPr>
          <w:rFonts w:hint="eastAsia" w:ascii="Times New Roman" w:hAnsi="Times New Roman" w:eastAsia="仿宋_GB2312"/>
          <w:b w:val="0"/>
          <w:bCs w:val="0"/>
          <w:color w:val="auto"/>
          <w:sz w:val="32"/>
          <w:szCs w:val="32"/>
          <w:highlight w:val="none"/>
          <w:lang w:val="en-US" w:eastAsia="zh-CN"/>
        </w:rPr>
        <w:t xml:space="preserve"> </w:t>
      </w:r>
      <w:r>
        <w:rPr>
          <w:rFonts w:hint="eastAsia" w:ascii="Times New Roman" w:hAnsi="Times New Roman" w:eastAsia="仿宋_GB2312"/>
          <w:b w:val="0"/>
          <w:bCs w:val="0"/>
          <w:color w:val="auto"/>
          <w:sz w:val="32"/>
          <w:szCs w:val="32"/>
          <w:highlight w:val="none"/>
          <w:lang w:val="en-US" w:eastAsia="zh-CN"/>
        </w:rPr>
        <w:t>经批准的初步设计及概算是控制政府投资项目总投资的依据。</w:t>
      </w:r>
      <w:r>
        <w:rPr>
          <w:rFonts w:hint="default" w:ascii="Times New Roman PS Pro" w:hAnsi="Times New Roman PS Pro" w:eastAsia="仿宋_GB2312" w:cs="Times New Roman PS Pro"/>
          <w:b w:val="0"/>
          <w:bCs w:val="0"/>
          <w:color w:val="auto"/>
          <w:sz w:val="32"/>
          <w:szCs w:val="32"/>
          <w:highlight w:val="none"/>
          <w:u w:val="none"/>
          <w:shd w:val="clear" w:color="auto" w:fill="auto"/>
        </w:rPr>
        <w:t>政府投资项目建设投资原则上不得超过经核定的投资概算。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bCs/>
          <w:color w:val="auto"/>
          <w:sz w:val="32"/>
          <w:szCs w:val="32"/>
          <w:highlight w:val="none"/>
          <w:u w:val="none"/>
          <w:shd w:val="clear" w:color="auto" w:fill="auto"/>
          <w:lang w:eastAsia="zh-CN"/>
        </w:rPr>
      </w:pP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项目</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实施过程中</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w:t>
      </w:r>
      <w:r>
        <w:rPr>
          <w:rFonts w:hint="default" w:ascii="Times New Roman PS Pro" w:hAnsi="Times New Roman PS Pro" w:eastAsia="仿宋_GB2312" w:cs="Times New Roman PS Pro"/>
          <w:b w:val="0"/>
          <w:bCs w:val="0"/>
          <w:color w:val="auto"/>
          <w:sz w:val="32"/>
          <w:szCs w:val="32"/>
          <w:highlight w:val="none"/>
          <w:u w:val="none"/>
          <w:shd w:val="clear" w:color="auto" w:fill="auto"/>
        </w:rPr>
        <w:t>因国家</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和</w:t>
      </w:r>
      <w:r>
        <w:rPr>
          <w:rFonts w:hint="default" w:ascii="Times New Roman PS Pro" w:hAnsi="Times New Roman PS Pro" w:eastAsia="仿宋_GB2312" w:cs="Times New Roman PS Pro"/>
          <w:b w:val="0"/>
          <w:bCs w:val="0"/>
          <w:color w:val="auto"/>
          <w:sz w:val="32"/>
          <w:szCs w:val="32"/>
          <w:highlight w:val="none"/>
          <w:u w:val="none"/>
          <w:shd w:val="clear" w:color="auto" w:fill="auto"/>
        </w:rPr>
        <w:t>自治区政策调整、价格上涨</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w:t>
      </w:r>
      <w:r>
        <w:rPr>
          <w:rFonts w:hint="default" w:ascii="Times New Roman PS Pro" w:hAnsi="Times New Roman PS Pro" w:eastAsia="仿宋_GB2312" w:cs="Times New Roman PS Pro"/>
          <w:b w:val="0"/>
          <w:bCs w:val="0"/>
          <w:color w:val="auto"/>
          <w:sz w:val="32"/>
          <w:szCs w:val="32"/>
          <w:highlight w:val="none"/>
          <w:u w:val="none"/>
          <w:shd w:val="clear" w:color="auto" w:fill="auto"/>
        </w:rPr>
        <w:t>地质条件发生重大变化等</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原因</w:t>
      </w:r>
      <w:r>
        <w:rPr>
          <w:rFonts w:hint="default" w:ascii="Times New Roman PS Pro" w:hAnsi="Times New Roman PS Pro" w:eastAsia="仿宋_GB2312" w:cs="Times New Roman PS Pro"/>
          <w:b w:val="0"/>
          <w:bCs w:val="0"/>
          <w:color w:val="auto"/>
          <w:sz w:val="32"/>
          <w:szCs w:val="32"/>
          <w:highlight w:val="none"/>
          <w:u w:val="none"/>
          <w:shd w:val="clear" w:color="auto" w:fill="auto"/>
        </w:rPr>
        <w:t>确需增加投资</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概算</w:t>
      </w:r>
      <w:r>
        <w:rPr>
          <w:rFonts w:hint="default" w:ascii="Times New Roman PS Pro" w:hAnsi="Times New Roman PS Pro" w:eastAsia="仿宋_GB2312" w:cs="Times New Roman PS Pro"/>
          <w:b w:val="0"/>
          <w:bCs w:val="0"/>
          <w:color w:val="auto"/>
          <w:sz w:val="32"/>
          <w:szCs w:val="32"/>
          <w:highlight w:val="none"/>
          <w:u w:val="none"/>
          <w:shd w:val="clear" w:color="auto" w:fill="auto"/>
        </w:rPr>
        <w:t>的，项目单位应当</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事前</w:t>
      </w:r>
      <w:r>
        <w:rPr>
          <w:rFonts w:hint="eastAsia" w:ascii="Times New Roman PS Pro" w:hAnsi="Times New Roman PS Pro" w:eastAsia="仿宋_GB2312" w:cs="Times New Roman PS Pro"/>
          <w:color w:val="auto"/>
          <w:sz w:val="32"/>
          <w:szCs w:val="32"/>
          <w:highlight w:val="none"/>
          <w:u w:val="none"/>
          <w:shd w:val="clear" w:color="auto" w:fill="auto"/>
        </w:rPr>
        <w:t>向</w:t>
      </w:r>
      <w:r>
        <w:rPr>
          <w:rFonts w:hint="eastAsia" w:ascii="Times New Roman PS Pro" w:hAnsi="Times New Roman PS Pro" w:eastAsia="仿宋_GB2312" w:cs="Times New Roman PS Pro"/>
          <w:color w:val="auto"/>
          <w:sz w:val="32"/>
          <w:szCs w:val="32"/>
          <w:highlight w:val="none"/>
          <w:u w:val="none"/>
          <w:shd w:val="clear" w:color="auto" w:fill="auto"/>
          <w:lang w:eastAsia="zh-CN"/>
        </w:rPr>
        <w:t>原初步设计审批部门</w:t>
      </w:r>
      <w:r>
        <w:rPr>
          <w:rFonts w:hint="eastAsia" w:ascii="Times New Roman PS Pro" w:hAnsi="Times New Roman PS Pro" w:eastAsia="仿宋_GB2312" w:cs="Times New Roman PS Pro"/>
          <w:color w:val="auto"/>
          <w:sz w:val="32"/>
          <w:szCs w:val="32"/>
          <w:highlight w:val="none"/>
          <w:u w:val="none"/>
          <w:shd w:val="clear" w:color="auto" w:fill="auto"/>
        </w:rPr>
        <w:t>正式申报</w:t>
      </w:r>
      <w:r>
        <w:rPr>
          <w:rFonts w:hint="eastAsia" w:ascii="Times New Roman PS Pro" w:hAnsi="Times New Roman PS Pro" w:eastAsia="仿宋_GB2312" w:cs="Times New Roman PS Pro"/>
          <w:color w:val="auto"/>
          <w:sz w:val="32"/>
          <w:szCs w:val="32"/>
          <w:highlight w:val="none"/>
          <w:u w:val="none"/>
          <w:shd w:val="clear" w:color="auto" w:fill="auto"/>
          <w:lang w:eastAsia="zh-CN"/>
        </w:rPr>
        <w:t>，</w:t>
      </w:r>
      <w:r>
        <w:rPr>
          <w:rFonts w:hint="default" w:ascii="Times New Roman PS Pro" w:hAnsi="Times New Roman PS Pro" w:eastAsia="仿宋_GB2312" w:cs="Times New Roman PS Pro"/>
          <w:b w:val="0"/>
          <w:bCs w:val="0"/>
          <w:color w:val="auto"/>
          <w:sz w:val="32"/>
          <w:szCs w:val="32"/>
          <w:highlight w:val="none"/>
          <w:u w:val="none"/>
          <w:shd w:val="clear" w:color="auto" w:fill="auto"/>
        </w:rPr>
        <w:t>提出调整方案及资金来源，按照规定程序报</w:t>
      </w:r>
      <w:r>
        <w:rPr>
          <w:rFonts w:hint="default" w:ascii="Times New Roman PS Pro" w:hAnsi="Times New Roman PS Pro" w:eastAsia="仿宋_GB2312" w:cs="Times New Roman PS Pro"/>
          <w:b w:val="0"/>
          <w:bCs w:val="0"/>
          <w:color w:val="auto"/>
          <w:sz w:val="32"/>
          <w:szCs w:val="32"/>
          <w:highlight w:val="none"/>
          <w:u w:val="none"/>
          <w:shd w:val="clear" w:color="auto" w:fill="auto"/>
        </w:rPr>
        <w:t>原</w:t>
      </w:r>
      <w:r>
        <w:rPr>
          <w:rFonts w:hint="eastAsia" w:ascii="Times New Roman" w:hAnsi="Times New Roman" w:eastAsia="仿宋_GB2312"/>
          <w:b w:val="0"/>
          <w:bCs w:val="0"/>
          <w:color w:val="auto"/>
          <w:sz w:val="32"/>
          <w:szCs w:val="32"/>
          <w:highlight w:val="none"/>
          <w:lang w:val="en-US" w:eastAsia="zh-CN"/>
        </w:rPr>
        <w:t>初步设计</w:t>
      </w:r>
      <w:r>
        <w:rPr>
          <w:rFonts w:hint="default" w:ascii="Times New Roman PS Pro" w:hAnsi="Times New Roman PS Pro" w:eastAsia="仿宋_GB2312" w:cs="Times New Roman PS Pro"/>
          <w:b w:val="0"/>
          <w:bCs w:val="0"/>
          <w:color w:val="auto"/>
          <w:sz w:val="32"/>
          <w:szCs w:val="32"/>
          <w:highlight w:val="none"/>
          <w:u w:val="none"/>
          <w:shd w:val="clear" w:color="auto" w:fill="auto"/>
        </w:rPr>
        <w:t>审批部门或者投资</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概算</w:t>
      </w:r>
      <w:r>
        <w:rPr>
          <w:rFonts w:hint="default" w:ascii="Times New Roman PS Pro" w:hAnsi="Times New Roman PS Pro" w:eastAsia="仿宋_GB2312" w:cs="Times New Roman PS Pro"/>
          <w:b w:val="0"/>
          <w:bCs w:val="0"/>
          <w:color w:val="auto"/>
          <w:sz w:val="32"/>
          <w:szCs w:val="32"/>
          <w:highlight w:val="none"/>
          <w:u w:val="none"/>
          <w:shd w:val="clear" w:color="auto" w:fill="auto"/>
        </w:rPr>
        <w:t>核定部门核定</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w:t>
      </w:r>
      <w:r>
        <w:rPr>
          <w:rFonts w:hint="eastAsia" w:ascii="Times New Roman" w:hAnsi="Times New Roman" w:eastAsia="仿宋_GB2312" w:cs="Times New Roman"/>
          <w:b/>
          <w:bCs/>
          <w:color w:val="auto"/>
          <w:sz w:val="32"/>
          <w:szCs w:val="32"/>
          <w:highlight w:val="none"/>
          <w:u w:val="none"/>
          <w:shd w:val="clear" w:color="auto" w:fill="auto"/>
          <w:lang w:eastAsia="zh-CN"/>
        </w:rPr>
        <w:t>概算调增幅度超过批复概算10%的，初步设计审批部门或者概算核定部门原则上先商请审计机构进行审计，并依据审计结果进行概算调整。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PS Pro" w:hAnsi="Times New Roman PS Pro" w:eastAsia="仿宋_GB2312" w:cs="Times New Roman PS Pro"/>
          <w:b w:val="0"/>
          <w:bCs w:val="0"/>
          <w:color w:val="auto"/>
          <w:sz w:val="32"/>
          <w:szCs w:val="32"/>
          <w:highlight w:val="none"/>
          <w:u w:val="none"/>
          <w:shd w:val="clear" w:color="auto" w:fill="auto"/>
        </w:rPr>
      </w:pPr>
      <w:r>
        <w:rPr>
          <w:rFonts w:hint="default" w:ascii="Times New Roman PS Pro" w:hAnsi="Times New Roman PS Pro" w:eastAsia="仿宋_GB2312" w:cs="Times New Roman PS Pro"/>
          <w:b w:val="0"/>
          <w:bCs w:val="0"/>
          <w:color w:val="auto"/>
          <w:sz w:val="32"/>
          <w:szCs w:val="32"/>
          <w:highlight w:val="none"/>
          <w:u w:val="none"/>
          <w:shd w:val="clear" w:color="auto" w:fill="auto"/>
        </w:rPr>
        <w:t>涉及预算调整或调剂的，依照有关预算</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的</w:t>
      </w:r>
      <w:r>
        <w:rPr>
          <w:rFonts w:hint="default" w:ascii="Times New Roman PS Pro" w:hAnsi="Times New Roman PS Pro" w:eastAsia="仿宋_GB2312" w:cs="Times New Roman PS Pro"/>
          <w:b w:val="0"/>
          <w:bCs w:val="0"/>
          <w:color w:val="auto"/>
          <w:sz w:val="32"/>
          <w:szCs w:val="32"/>
          <w:highlight w:val="none"/>
          <w:u w:val="none"/>
          <w:shd w:val="clear" w:color="auto" w:fill="auto"/>
        </w:rPr>
        <w:t>法律、行政法规及国家、自治区有关规定办理。</w:t>
      </w:r>
    </w:p>
    <w:p>
      <w:pPr>
        <w:keepNext w:val="0"/>
        <w:keepLines w:val="0"/>
        <w:pageBreakBefore w:val="0"/>
        <w:kinsoku/>
        <w:wordWrap/>
        <w:overflowPunct/>
        <w:topLinePunct w:val="0"/>
        <w:autoSpaceDE/>
        <w:autoSpaceDN/>
        <w:bidi w:val="0"/>
        <w:adjustRightInd/>
        <w:snapToGrid/>
        <w:spacing w:line="560" w:lineRule="exact"/>
        <w:ind w:firstLine="640" w:firstLineChars="0"/>
        <w:textAlignment w:val="auto"/>
        <w:rPr>
          <w:rFonts w:hint="default" w:ascii="Times New Roman PS Pro" w:hAnsi="Times New Roman PS Pro" w:eastAsia="仿宋_GB2312" w:cs="Times New Roman PS Pro"/>
          <w:b w:val="0"/>
          <w:bCs w:val="0"/>
          <w:color w:val="auto"/>
          <w:sz w:val="32"/>
          <w:szCs w:val="32"/>
          <w:highlight w:val="none"/>
          <w:u w:val="none"/>
          <w:shd w:val="clear" w:color="auto" w:fill="auto"/>
        </w:rPr>
      </w:pP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未经批准</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擅自</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改变建设主体、建设内容、建设规模、建设标准</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的，</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列入年度审计计划实行政府审计，对违规情形进行核实认定</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报同级人民政府研究提出</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对相关责任单位及责任人的处理意见</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后</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按规定程序进行</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设计变更或概算调整</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，超出投资原则上由项目单位自筹解决</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第</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二十</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一</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条</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验收决算</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PS Pro" w:hAnsi="Times New Roman PS Pro" w:eastAsia="仿宋_GB2312" w:cs="Times New Roman PS Pro"/>
          <w:b w:val="0"/>
          <w:bCs w:val="0"/>
          <w:color w:val="auto"/>
          <w:sz w:val="32"/>
          <w:szCs w:val="32"/>
          <w:highlight w:val="none"/>
          <w:u w:val="none"/>
          <w:shd w:val="clear" w:color="auto" w:fill="auto"/>
        </w:rPr>
        <w:t xml:space="preserve"> 政府投资项目建成后，应当按照国家</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和自治区</w:t>
      </w:r>
      <w:r>
        <w:rPr>
          <w:rFonts w:hint="default" w:ascii="Times New Roman PS Pro" w:hAnsi="Times New Roman PS Pro" w:eastAsia="仿宋_GB2312" w:cs="Times New Roman PS Pro"/>
          <w:b w:val="0"/>
          <w:bCs w:val="0"/>
          <w:color w:val="auto"/>
          <w:sz w:val="32"/>
          <w:szCs w:val="32"/>
          <w:highlight w:val="none"/>
          <w:u w:val="none"/>
          <w:shd w:val="clear" w:color="auto" w:fill="auto"/>
        </w:rPr>
        <w:t>有关规定进行</w:t>
      </w:r>
      <w:r>
        <w:rPr>
          <w:rFonts w:hint="eastAsia" w:ascii="仿宋_GB2312" w:hAnsi="Times New Roman" w:eastAsia="仿宋_GB2312" w:cs="Times New Roman"/>
          <w:b w:val="0"/>
          <w:bCs w:val="0"/>
          <w:color w:val="auto"/>
          <w:kern w:val="0"/>
          <w:sz w:val="32"/>
          <w:szCs w:val="32"/>
          <w:highlight w:val="none"/>
          <w:lang w:eastAsia="zh-CN"/>
        </w:rPr>
        <w:t>竣工财务决算，开展</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竣工</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验收</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，并在竣工验收</w:t>
      </w:r>
      <w:r>
        <w:rPr>
          <w:rFonts w:hint="eastAsia" w:ascii="仿宋_GB2312" w:hAnsi="Times New Roman" w:eastAsia="仿宋_GB2312" w:cs="Times New Roman"/>
          <w:b w:val="0"/>
          <w:bCs w:val="0"/>
          <w:color w:val="auto"/>
          <w:kern w:val="0"/>
          <w:sz w:val="32"/>
          <w:szCs w:val="32"/>
          <w:highlight w:val="none"/>
        </w:rPr>
        <w:t>合格后及时办理固定资产移交。</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hint="default" w:ascii="Times New Roman PS Pro" w:hAnsi="Times New Roman PS Pro" w:eastAsia="仿宋_GB2312" w:cs="Times New Roman PS Pro"/>
          <w:b w:val="0"/>
          <w:bCs w:val="0"/>
          <w:color w:val="auto"/>
          <w:sz w:val="32"/>
          <w:szCs w:val="32"/>
          <w:highlight w:val="none"/>
          <w:u w:val="none"/>
          <w:shd w:val="clear" w:color="auto" w:fill="auto"/>
        </w:rPr>
      </w:pPr>
      <w:r>
        <w:rPr>
          <w:rFonts w:hint="default" w:ascii="Times New Roman PS Pro" w:hAnsi="Times New Roman PS Pro" w:eastAsia="仿宋_GB2312" w:cs="Times New Roman PS Pro"/>
          <w:b w:val="0"/>
          <w:bCs w:val="0"/>
          <w:color w:val="auto"/>
          <w:sz w:val="32"/>
          <w:szCs w:val="32"/>
          <w:highlight w:val="none"/>
          <w:u w:val="none"/>
          <w:shd w:val="clear" w:color="auto" w:fill="auto"/>
        </w:rPr>
        <w:t>政府投资项目结余的财政资金，应当按照国家</w:t>
      </w:r>
      <w:r>
        <w:rPr>
          <w:rFonts w:hint="eastAsia" w:ascii="Times New Roman" w:hAnsi="Times New Roman" w:eastAsia="仿宋_GB2312" w:cs="Times New Roman"/>
          <w:b w:val="0"/>
          <w:bCs w:val="0"/>
          <w:color w:val="auto"/>
          <w:kern w:val="2"/>
          <w:sz w:val="32"/>
          <w:szCs w:val="32"/>
          <w:highlight w:val="none"/>
          <w:lang w:val="en-US" w:eastAsia="zh-CN" w:bidi="ar-SA"/>
        </w:rPr>
        <w:t>和自治区</w:t>
      </w:r>
      <w:r>
        <w:rPr>
          <w:rFonts w:hint="default" w:ascii="Times New Roman PS Pro" w:hAnsi="Times New Roman PS Pro" w:eastAsia="仿宋_GB2312" w:cs="Times New Roman PS Pro"/>
          <w:b w:val="0"/>
          <w:bCs w:val="0"/>
          <w:color w:val="auto"/>
          <w:sz w:val="32"/>
          <w:szCs w:val="32"/>
          <w:highlight w:val="none"/>
          <w:u w:val="none"/>
          <w:shd w:val="clear" w:color="auto" w:fill="auto"/>
        </w:rPr>
        <w:t>有关规定缴回国库。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第</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二十二</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条</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项目后评价</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PS Pro" w:hAnsi="Times New Roman PS Pro" w:eastAsia="仿宋_GB2312" w:cs="Times New Roman PS Pro"/>
          <w:b w:val="0"/>
          <w:bCs w:val="0"/>
          <w:color w:val="auto"/>
          <w:sz w:val="32"/>
          <w:szCs w:val="32"/>
          <w:highlight w:val="none"/>
          <w:u w:val="none"/>
          <w:shd w:val="clear" w:color="auto" w:fill="auto"/>
        </w:rPr>
        <w:t xml:space="preserve"> </w:t>
      </w:r>
      <w:r>
        <w:rPr>
          <w:rFonts w:hint="default" w:ascii="Times New Roman" w:hAnsi="Times New Roman" w:eastAsia="仿宋_GB2312" w:cs="Times New Roman"/>
          <w:b w:val="0"/>
          <w:bCs w:val="0"/>
          <w:color w:val="auto"/>
          <w:kern w:val="2"/>
          <w:sz w:val="32"/>
          <w:szCs w:val="32"/>
          <w:highlight w:val="none"/>
          <w:lang w:val="en-US" w:eastAsia="zh-CN" w:bidi="ar-SA"/>
        </w:rPr>
        <w:t>政府投资项目实行后评价制度。</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县级以上人民政府投资主管部门</w:t>
      </w:r>
      <w:r>
        <w:rPr>
          <w:rFonts w:hint="default" w:ascii="Times New Roman PS Pro" w:hAnsi="Times New Roman PS Pro" w:eastAsia="仿宋_GB2312" w:cs="Times New Roman PS Pro"/>
          <w:b w:val="0"/>
          <w:bCs w:val="0"/>
          <w:color w:val="auto"/>
          <w:sz w:val="32"/>
          <w:szCs w:val="32"/>
          <w:highlight w:val="none"/>
          <w:u w:val="none"/>
          <w:shd w:val="clear" w:color="auto" w:fill="auto"/>
        </w:rPr>
        <w:t>应当按照国家有关规定选择有代表性的已建成政府投资项目，委托中介服务机构对所选项目进行后评价。后评价应当根据项目建成后的实际效果，对项目审批和实施进行全面评价并提出明确意见。</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PS Pro" w:hAnsi="Times New Roman PS Pro" w:eastAsia="仿宋_GB2312" w:cs="Times New Roman PS Pro"/>
          <w:b w:val="0"/>
          <w:bCs w:val="0"/>
          <w:color w:val="auto"/>
          <w:kern w:val="2"/>
          <w:sz w:val="32"/>
          <w:szCs w:val="32"/>
          <w:highlight w:val="none"/>
          <w:u w:val="none"/>
          <w:shd w:val="clear" w:color="auto" w:fill="auto"/>
        </w:rPr>
      </w:pPr>
      <w:r>
        <w:rPr>
          <w:rFonts w:hint="default" w:ascii="Times New Roman PS Pro" w:hAnsi="Times New Roman PS Pro" w:eastAsia="仿宋_GB2312" w:cs="Times New Roman PS Pro"/>
          <w:b w:val="0"/>
          <w:bCs w:val="0"/>
          <w:color w:val="auto"/>
          <w:kern w:val="2"/>
          <w:sz w:val="32"/>
          <w:szCs w:val="32"/>
          <w:highlight w:val="none"/>
          <w:u w:val="none"/>
          <w:shd w:val="clear" w:color="auto" w:fill="auto"/>
        </w:rPr>
        <w:t>项目后评价工作应当遵循独立、客观、公正、科学的原则。</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县级以上人民政府投资主管部门</w:t>
      </w:r>
      <w:r>
        <w:rPr>
          <w:rFonts w:hint="default" w:ascii="Times New Roman PS Pro" w:hAnsi="Times New Roman PS Pro" w:eastAsia="仿宋_GB2312" w:cs="Times New Roman PS Pro"/>
          <w:b w:val="0"/>
          <w:bCs w:val="0"/>
          <w:color w:val="auto"/>
          <w:kern w:val="2"/>
          <w:sz w:val="32"/>
          <w:szCs w:val="32"/>
          <w:highlight w:val="none"/>
          <w:u w:val="none"/>
          <w:shd w:val="clear" w:color="auto" w:fill="auto"/>
        </w:rPr>
        <w:t>为项目后评价工作的统筹管理部门，负责项目后评价组织实施工作；有关行业主管部门负责在各自职责范围内协调配合开展项目后评价工作。</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PS Pro" w:hAnsi="Times New Roman PS Pro" w:eastAsia="仿宋_GB2312" w:cs="Times New Roman PS Pro"/>
          <w:b w:val="0"/>
          <w:bCs w:val="0"/>
          <w:color w:val="auto"/>
          <w:kern w:val="2"/>
          <w:sz w:val="32"/>
          <w:szCs w:val="32"/>
          <w:highlight w:val="none"/>
          <w:u w:val="none"/>
          <w:shd w:val="clear" w:color="auto" w:fill="auto"/>
        </w:rPr>
      </w:pP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PS Pro" w:hAnsi="Times New Roman PS Pro" w:eastAsia="黑体" w:cs="Times New Roman PS Pro"/>
          <w:b w:val="0"/>
          <w:bCs w:val="0"/>
          <w:color w:val="auto"/>
          <w:sz w:val="32"/>
          <w:szCs w:val="32"/>
          <w:highlight w:val="none"/>
          <w:u w:val="none"/>
          <w:shd w:val="clear" w:color="auto" w:fill="auto"/>
        </w:rPr>
      </w:pPr>
      <w:r>
        <w:rPr>
          <w:rFonts w:hint="default" w:ascii="Times New Roman PS Pro" w:hAnsi="Times New Roman PS Pro" w:eastAsia="黑体" w:cs="Times New Roman PS Pro"/>
          <w:b w:val="0"/>
          <w:bCs w:val="0"/>
          <w:color w:val="auto"/>
          <w:sz w:val="32"/>
          <w:szCs w:val="32"/>
          <w:highlight w:val="none"/>
          <w:u w:val="none"/>
          <w:shd w:val="clear" w:color="auto" w:fill="auto"/>
        </w:rPr>
        <w:t>第五章  监督管理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第</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二十三</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条</w:t>
      </w:r>
      <w:r>
        <w:rPr>
          <w:rFonts w:hint="eastAsia" w:ascii="仿宋_GB2312" w:hAnsi="仿宋_GB2312" w:eastAsia="仿宋_GB2312" w:cs="仿宋_GB2312"/>
          <w:b w:val="0"/>
          <w:bCs w:val="0"/>
          <w:color w:val="auto"/>
          <w:sz w:val="32"/>
          <w:szCs w:val="32"/>
          <w:highlight w:val="none"/>
          <w:lang w:val="en-US" w:eastAsia="zh-CN"/>
        </w:rPr>
        <w:t>【监管方式】</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县级以上人民政府投资主管部门</w:t>
      </w:r>
      <w:r>
        <w:rPr>
          <w:rFonts w:hint="default" w:ascii="Times New Roman PS Pro" w:hAnsi="Times New Roman PS Pro" w:eastAsia="仿宋_GB2312" w:cs="Times New Roman PS Pro"/>
          <w:b w:val="0"/>
          <w:bCs w:val="0"/>
          <w:color w:val="auto"/>
          <w:sz w:val="32"/>
          <w:szCs w:val="32"/>
          <w:highlight w:val="none"/>
          <w:u w:val="none"/>
          <w:shd w:val="clear" w:color="auto" w:fill="auto"/>
        </w:rPr>
        <w:t>、行业主管部门和依法对政府投资项目负有监督管理职责的其他部门</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应当</w:t>
      </w:r>
      <w:r>
        <w:rPr>
          <w:rFonts w:hint="default" w:ascii="Times New Roman PS Pro" w:hAnsi="Times New Roman PS Pro" w:eastAsia="仿宋_GB2312" w:cs="Times New Roman PS Pro"/>
          <w:b w:val="0"/>
          <w:bCs w:val="0"/>
          <w:color w:val="auto"/>
          <w:sz w:val="32"/>
          <w:szCs w:val="32"/>
          <w:highlight w:val="none"/>
          <w:u w:val="none"/>
          <w:shd w:val="clear" w:color="auto" w:fill="auto"/>
        </w:rPr>
        <w:t>采取在线监测、现场核查等方式，加强对政府投资项目</w:t>
      </w:r>
      <w:r>
        <w:rPr>
          <w:rFonts w:hint="eastAsia" w:ascii="仿宋_GB2312" w:hAnsi="仿宋_GB2312" w:eastAsia="仿宋_GB2312" w:cs="仿宋_GB2312"/>
          <w:b w:val="0"/>
          <w:bCs w:val="0"/>
          <w:color w:val="auto"/>
          <w:sz w:val="32"/>
          <w:szCs w:val="32"/>
          <w:highlight w:val="none"/>
          <w:lang w:eastAsia="zh-CN"/>
        </w:rPr>
        <w:t>事前事中事后全链条全领域监管。</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PS Pro" w:hAnsi="Times New Roman PS Pro" w:eastAsia="仿宋_GB2312" w:cs="Times New Roman PS Pro"/>
          <w:b w:val="0"/>
          <w:bCs w:val="0"/>
          <w:color w:val="auto"/>
          <w:sz w:val="32"/>
          <w:szCs w:val="32"/>
          <w:highlight w:val="none"/>
          <w:u w:val="none"/>
          <w:shd w:val="clear" w:color="auto" w:fill="auto"/>
        </w:rPr>
      </w:pPr>
      <w:r>
        <w:rPr>
          <w:rFonts w:hint="default" w:ascii="Times New Roman PS Pro" w:hAnsi="Times New Roman PS Pro" w:eastAsia="仿宋_GB2312" w:cs="Times New Roman PS Pro"/>
          <w:b w:val="0"/>
          <w:bCs w:val="0"/>
          <w:color w:val="auto"/>
          <w:sz w:val="32"/>
          <w:szCs w:val="32"/>
          <w:highlight w:val="none"/>
          <w:u w:val="none"/>
          <w:shd w:val="clear" w:color="auto" w:fill="auto"/>
        </w:rPr>
        <w:t>除涉及国家秘密的项目外，项目单位应当通过自治区投资项目在线审批监管平台如实报送政府投资项目开工建设、建设进度、</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工程</w:t>
      </w:r>
      <w:r>
        <w:rPr>
          <w:rFonts w:hint="default" w:ascii="Times New Roman PS Pro" w:hAnsi="Times New Roman PS Pro" w:eastAsia="仿宋_GB2312" w:cs="Times New Roman PS Pro"/>
          <w:b w:val="0"/>
          <w:bCs w:val="0"/>
          <w:color w:val="auto"/>
          <w:sz w:val="32"/>
          <w:szCs w:val="32"/>
          <w:highlight w:val="none"/>
          <w:u w:val="none"/>
          <w:shd w:val="clear" w:color="auto" w:fill="auto"/>
        </w:rPr>
        <w:t>竣工的基本信息。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PS Pro" w:hAnsi="Times New Roman PS Pro" w:eastAsia="仿宋_GB2312" w:cs="Times New Roman PS Pro"/>
          <w:b w:val="0"/>
          <w:bCs w:val="0"/>
          <w:color w:val="auto"/>
          <w:sz w:val="32"/>
          <w:szCs w:val="32"/>
          <w:highlight w:val="none"/>
          <w:u w:val="none"/>
          <w:shd w:val="clear" w:color="auto" w:fill="auto"/>
        </w:rPr>
      </w:pPr>
      <w:r>
        <w:rPr>
          <w:rFonts w:hint="default" w:ascii="Times New Roman PS Pro" w:hAnsi="Times New Roman PS Pro" w:eastAsia="仿宋_GB2312" w:cs="Times New Roman PS Pro"/>
          <w:b w:val="0"/>
          <w:bCs w:val="0"/>
          <w:color w:val="auto"/>
          <w:sz w:val="32"/>
          <w:szCs w:val="32"/>
          <w:highlight w:val="none"/>
          <w:u w:val="none"/>
          <w:shd w:val="clear" w:color="auto" w:fill="auto"/>
        </w:rPr>
        <w:t>项目单位要严格落实政府投资项目实施主体责任，严格按批复组织项目建设，及时准确上报进度数据和信息，如期保质保量完工投用。自觉接受各级监管部门的监督检查。对监管部门指出的问题要积极整改，并及时向有关部门报送整改情况。</w:t>
      </w:r>
    </w:p>
    <w:p>
      <w:pPr>
        <w:keepNext w:val="0"/>
        <w:keepLines w:val="0"/>
        <w:pageBreakBefore w:val="0"/>
        <w:kinsoku/>
        <w:wordWrap/>
        <w:overflowPunct/>
        <w:topLinePunct w:val="0"/>
        <w:autoSpaceDE/>
        <w:autoSpaceDN/>
        <w:bidi w:val="0"/>
        <w:adjustRightInd/>
        <w:snapToGrid/>
        <w:spacing w:line="560" w:lineRule="exact"/>
        <w:ind w:firstLine="600"/>
        <w:textAlignment w:val="auto"/>
        <w:rPr>
          <w:rFonts w:hint="default" w:ascii="Times New Roman PS Pro" w:hAnsi="Times New Roman PS Pro" w:eastAsia="仿宋_GB2312" w:cs="Times New Roman PS Pro"/>
          <w:b w:val="0"/>
          <w:bCs w:val="0"/>
          <w:color w:val="auto"/>
          <w:sz w:val="32"/>
          <w:szCs w:val="32"/>
          <w:highlight w:val="none"/>
          <w:u w:val="none"/>
          <w:shd w:val="clear" w:color="auto" w:fill="auto"/>
        </w:rPr>
      </w:pPr>
      <w:r>
        <w:rPr>
          <w:rFonts w:hint="default" w:ascii="Times New Roman PS Pro" w:hAnsi="Times New Roman PS Pro" w:eastAsia="仿宋_GB2312" w:cs="Times New Roman PS Pro"/>
          <w:b w:val="0"/>
          <w:bCs w:val="0"/>
          <w:color w:val="auto"/>
          <w:sz w:val="32"/>
          <w:szCs w:val="32"/>
          <w:highlight w:val="none"/>
          <w:u w:val="none"/>
          <w:shd w:val="clear" w:color="auto" w:fill="auto"/>
        </w:rPr>
        <w:t>项目直接管理单位作为日常监管的直接责任单位，承担政府投资项目的</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日常监管职责，没有项目直接管理单位的，由项目单位（法人）上级行业主管部门履行日常监管职责。对</w:t>
      </w:r>
      <w:r>
        <w:rPr>
          <w:rFonts w:hint="default" w:ascii="Times New Roman PS Pro" w:hAnsi="Times New Roman PS Pro" w:eastAsia="仿宋_GB2312" w:cs="Times New Roman PS Pro"/>
          <w:b w:val="0"/>
          <w:bCs w:val="0"/>
          <w:color w:val="auto"/>
          <w:sz w:val="32"/>
          <w:szCs w:val="32"/>
          <w:highlight w:val="none"/>
          <w:u w:val="none"/>
          <w:shd w:val="clear" w:color="auto" w:fill="auto"/>
        </w:rPr>
        <w:t>项目建设手续</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规范性</w:t>
      </w:r>
      <w:r>
        <w:rPr>
          <w:rFonts w:hint="default" w:ascii="Times New Roman PS Pro" w:hAnsi="Times New Roman PS Pro" w:eastAsia="仿宋_GB2312" w:cs="Times New Roman PS Pro"/>
          <w:b w:val="0"/>
          <w:bCs w:val="0"/>
          <w:color w:val="auto"/>
          <w:sz w:val="32"/>
          <w:szCs w:val="32"/>
          <w:highlight w:val="none"/>
          <w:u w:val="none"/>
          <w:shd w:val="clear" w:color="auto" w:fill="auto"/>
        </w:rPr>
        <w:t>、</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建设</w:t>
      </w:r>
      <w:r>
        <w:rPr>
          <w:rFonts w:hint="default" w:ascii="Times New Roman PS Pro" w:hAnsi="Times New Roman PS Pro" w:eastAsia="仿宋_GB2312" w:cs="Times New Roman PS Pro"/>
          <w:b w:val="0"/>
          <w:bCs w:val="0"/>
          <w:color w:val="auto"/>
          <w:sz w:val="32"/>
          <w:szCs w:val="32"/>
          <w:highlight w:val="none"/>
          <w:u w:val="none"/>
          <w:shd w:val="clear" w:color="auto" w:fill="auto"/>
        </w:rPr>
        <w:t>进度</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与投资计划匹配性</w:t>
      </w:r>
      <w:r>
        <w:rPr>
          <w:rFonts w:hint="default" w:ascii="Times New Roman PS Pro" w:hAnsi="Times New Roman PS Pro" w:eastAsia="仿宋_GB2312" w:cs="Times New Roman PS Pro"/>
          <w:b w:val="0"/>
          <w:bCs w:val="0"/>
          <w:color w:val="auto"/>
          <w:sz w:val="32"/>
          <w:szCs w:val="32"/>
          <w:highlight w:val="none"/>
          <w:u w:val="none"/>
          <w:shd w:val="clear" w:color="auto" w:fill="auto"/>
        </w:rPr>
        <w:t>、资金</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到位</w:t>
      </w:r>
      <w:r>
        <w:rPr>
          <w:rFonts w:hint="default" w:ascii="Times New Roman PS Pro" w:hAnsi="Times New Roman PS Pro" w:eastAsia="仿宋_GB2312" w:cs="Times New Roman PS Pro"/>
          <w:b w:val="0"/>
          <w:bCs w:val="0"/>
          <w:color w:val="auto"/>
          <w:sz w:val="32"/>
          <w:szCs w:val="32"/>
          <w:highlight w:val="none"/>
          <w:u w:val="none"/>
          <w:shd w:val="clear" w:color="auto" w:fill="auto"/>
        </w:rPr>
        <w:t>及使用、</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概算执行</w:t>
      </w:r>
      <w:r>
        <w:rPr>
          <w:rFonts w:hint="default" w:ascii="Times New Roman PS Pro" w:hAnsi="Times New Roman PS Pro" w:eastAsia="仿宋_GB2312" w:cs="Times New Roman PS Pro"/>
          <w:b w:val="0"/>
          <w:bCs w:val="0"/>
          <w:color w:val="auto"/>
          <w:sz w:val="32"/>
          <w:szCs w:val="32"/>
          <w:highlight w:val="none"/>
          <w:u w:val="none"/>
          <w:shd w:val="clear" w:color="auto" w:fill="auto"/>
        </w:rPr>
        <w:t>、</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项目</w:t>
      </w:r>
      <w:r>
        <w:rPr>
          <w:rFonts w:hint="default" w:ascii="Times New Roman PS Pro" w:hAnsi="Times New Roman PS Pro" w:eastAsia="仿宋_GB2312" w:cs="Times New Roman PS Pro"/>
          <w:b w:val="0"/>
          <w:bCs w:val="0"/>
          <w:color w:val="auto"/>
          <w:sz w:val="32"/>
          <w:szCs w:val="32"/>
          <w:highlight w:val="none"/>
          <w:u w:val="none"/>
          <w:shd w:val="clear" w:color="auto" w:fill="auto"/>
        </w:rPr>
        <w:t>信息</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及进度</w:t>
      </w:r>
      <w:r>
        <w:rPr>
          <w:rFonts w:hint="default" w:ascii="Times New Roman PS Pro" w:hAnsi="Times New Roman PS Pro" w:eastAsia="仿宋_GB2312" w:cs="Times New Roman PS Pro"/>
          <w:b w:val="0"/>
          <w:bCs w:val="0"/>
          <w:color w:val="auto"/>
          <w:sz w:val="32"/>
          <w:szCs w:val="32"/>
          <w:highlight w:val="none"/>
          <w:u w:val="none"/>
          <w:shd w:val="clear" w:color="auto" w:fill="auto"/>
        </w:rPr>
        <w:t>数据等情况进行日常监管。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PS Pro" w:hAnsi="Times New Roman PS Pro" w:eastAsia="仿宋_GB2312" w:cs="Times New Roman PS Pro"/>
          <w:b w:val="0"/>
          <w:bCs w:val="0"/>
          <w:color w:val="auto"/>
          <w:sz w:val="32"/>
          <w:szCs w:val="32"/>
          <w:highlight w:val="none"/>
          <w:u w:val="none"/>
          <w:shd w:val="clear" w:color="auto" w:fill="auto"/>
        </w:rPr>
      </w:pP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第</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二十四</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条</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信息共享</w:t>
      </w:r>
      <w:r>
        <w:rPr>
          <w:rFonts w:hint="eastAsia" w:ascii="仿宋_GB2312" w:hAnsi="仿宋_GB2312" w:eastAsia="仿宋_GB2312" w:cs="仿宋_GB2312"/>
          <w:b w:val="0"/>
          <w:bCs w:val="0"/>
          <w:color w:val="auto"/>
          <w:sz w:val="32"/>
          <w:szCs w:val="32"/>
          <w:highlight w:val="none"/>
          <w:lang w:val="en-US" w:eastAsia="zh-CN"/>
        </w:rPr>
        <w:t>】</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县级以上人民政府投资主管部门</w:t>
      </w:r>
      <w:r>
        <w:rPr>
          <w:rFonts w:hint="default" w:ascii="Times New Roman PS Pro" w:hAnsi="Times New Roman PS Pro" w:eastAsia="仿宋_GB2312" w:cs="Times New Roman PS Pro"/>
          <w:b w:val="0"/>
          <w:bCs w:val="0"/>
          <w:color w:val="auto"/>
          <w:sz w:val="32"/>
          <w:szCs w:val="32"/>
          <w:highlight w:val="none"/>
          <w:u w:val="none"/>
          <w:shd w:val="clear" w:color="auto" w:fill="auto"/>
        </w:rPr>
        <w:t>和依法对政府投资项目负有监督管理职责的其他部门应当建立政府投资项目信息共享机制，通过在线平台实现信息共享。</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PS Pro" w:hAnsi="Times New Roman PS Pro" w:eastAsia="仿宋_GB2312" w:cs="Times New Roman PS Pro"/>
          <w:b w:val="0"/>
          <w:bCs w:val="0"/>
          <w:color w:val="auto"/>
          <w:sz w:val="32"/>
          <w:szCs w:val="32"/>
          <w:highlight w:val="none"/>
          <w:u w:val="none"/>
          <w:shd w:val="clear" w:color="auto" w:fill="auto"/>
        </w:rPr>
      </w:pP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第</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二十五</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条</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档案管理</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PS Pro" w:hAnsi="Times New Roman PS Pro" w:eastAsia="仿宋_GB2312" w:cs="Times New Roman PS Pro"/>
          <w:b w:val="0"/>
          <w:bCs w:val="0"/>
          <w:color w:val="auto"/>
          <w:sz w:val="32"/>
          <w:szCs w:val="32"/>
          <w:highlight w:val="none"/>
          <w:u w:val="none"/>
          <w:shd w:val="clear" w:color="auto" w:fill="auto"/>
        </w:rPr>
        <w:t>项目单位应当按照国家有关规定加强政府投资项目档案管理，将项目审批和实施过程中的有关文件、资料存档备查。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pP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第</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二十六</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条</w:t>
      </w:r>
      <w:r>
        <w:rPr>
          <w:rFonts w:hint="eastAsia" w:ascii="仿宋_GB2312" w:hAnsi="仿宋_GB2312" w:eastAsia="仿宋_GB2312" w:cs="仿宋_GB2312"/>
          <w:b w:val="0"/>
          <w:bCs w:val="0"/>
          <w:color w:val="auto"/>
          <w:sz w:val="32"/>
          <w:szCs w:val="32"/>
          <w:highlight w:val="none"/>
          <w:lang w:val="en-US" w:eastAsia="zh-CN"/>
        </w:rPr>
        <w:t>【信息公开】</w:t>
      </w:r>
      <w:r>
        <w:rPr>
          <w:rFonts w:hint="eastAsia" w:ascii="仿宋_GB2312" w:hAnsi="仿宋_GB2312" w:eastAsia="仿宋_GB2312" w:cs="仿宋_GB2312"/>
          <w:b w:val="0"/>
          <w:bCs w:val="0"/>
          <w:color w:val="auto"/>
          <w:sz w:val="32"/>
          <w:szCs w:val="32"/>
          <w:highlight w:val="none"/>
          <w:lang w:val="en-US" w:eastAsia="zh-CN"/>
        </w:rPr>
        <w:t>除涉及国家秘密的项目外，县级以上人民政府及有关部门应当通过在线平台依法公开</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政府投资年度计划、政府投资项目审批</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实施以及监督检查的信息。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PS Pro" w:hAnsi="Times New Roman PS Pro" w:eastAsia="仿宋_GB2312" w:cs="Times New Roman PS Pro"/>
          <w:b w:val="0"/>
          <w:bCs w:val="0"/>
          <w:color w:val="auto"/>
          <w:sz w:val="32"/>
          <w:szCs w:val="32"/>
          <w:highlight w:val="none"/>
          <w:u w:val="none"/>
          <w:shd w:val="clear" w:color="auto" w:fill="auto"/>
        </w:rPr>
      </w:pP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PS Pro" w:hAnsi="Times New Roman PS Pro" w:eastAsia="黑体" w:cs="Times New Roman PS Pro"/>
          <w:b w:val="0"/>
          <w:bCs w:val="0"/>
          <w:color w:val="auto"/>
          <w:sz w:val="32"/>
          <w:szCs w:val="32"/>
          <w:highlight w:val="none"/>
          <w:u w:val="none"/>
          <w:shd w:val="clear" w:color="auto" w:fill="auto"/>
        </w:rPr>
      </w:pPr>
      <w:r>
        <w:rPr>
          <w:rFonts w:hint="default" w:ascii="Times New Roman PS Pro" w:hAnsi="Times New Roman PS Pro" w:eastAsia="黑体" w:cs="Times New Roman PS Pro"/>
          <w:b w:val="0"/>
          <w:bCs w:val="0"/>
          <w:color w:val="auto"/>
          <w:sz w:val="32"/>
          <w:szCs w:val="32"/>
          <w:highlight w:val="none"/>
          <w:u w:val="none"/>
          <w:shd w:val="clear" w:color="auto" w:fill="auto"/>
        </w:rPr>
        <w:t>第六章  法律</w:t>
      </w:r>
      <w:r>
        <w:rPr>
          <w:rFonts w:hint="eastAsia" w:ascii="Times New Roman PS Pro" w:hAnsi="Times New Roman PS Pro" w:eastAsia="黑体" w:cs="Times New Roman PS Pro"/>
          <w:b w:val="0"/>
          <w:bCs w:val="0"/>
          <w:color w:val="auto"/>
          <w:sz w:val="32"/>
          <w:szCs w:val="32"/>
          <w:highlight w:val="none"/>
          <w:u w:val="none"/>
          <w:shd w:val="clear" w:color="auto" w:fill="auto"/>
          <w:lang w:val="en-US" w:eastAsia="zh-CN"/>
        </w:rPr>
        <w:t>责任</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pP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第</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二十七</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条</w:t>
      </w:r>
      <w:r>
        <w:rPr>
          <w:rFonts w:hint="eastAsia" w:ascii="仿宋_GB2312" w:hAnsi="仿宋_GB2312" w:eastAsia="仿宋_GB2312" w:cs="仿宋_GB2312"/>
          <w:b w:val="0"/>
          <w:bCs w:val="0"/>
          <w:color w:val="auto"/>
          <w:sz w:val="32"/>
          <w:szCs w:val="32"/>
          <w:highlight w:val="none"/>
          <w:lang w:val="en-US" w:eastAsia="zh-CN"/>
        </w:rPr>
        <w:t>【法律责任】 县级以上人民政府及其有关</w:t>
      </w:r>
      <w:r>
        <w:rPr>
          <w:rFonts w:hint="eastAsia" w:ascii="仿宋_GB2312" w:hAnsi="仿宋_GB2312" w:eastAsia="仿宋_GB2312" w:cs="仿宋_GB2312"/>
          <w:b w:val="0"/>
          <w:bCs w:val="0"/>
          <w:color w:val="auto"/>
          <w:sz w:val="32"/>
          <w:szCs w:val="32"/>
          <w:highlight w:val="none"/>
          <w:lang w:val="en-US" w:eastAsia="zh-CN"/>
        </w:rPr>
        <w:t>部门、项目单位发生违反《政府投资条例》（国务院令第712号）第三十二条至第三十六条规定的，责令改正，依法给予相关人员处分并追究法律责任。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PS Pro" w:hAnsi="Times New Roman PS Pro" w:eastAsia="黑体" w:cs="Times New Roman PS Pro"/>
          <w:b w:val="0"/>
          <w:bCs w:val="0"/>
          <w:color w:val="auto"/>
          <w:sz w:val="32"/>
          <w:szCs w:val="32"/>
          <w:highlight w:val="none"/>
          <w:u w:val="none"/>
          <w:shd w:val="clear" w:color="auto" w:fill="auto"/>
        </w:rPr>
      </w:pPr>
      <w:r>
        <w:rPr>
          <w:rFonts w:hint="default" w:ascii="Times New Roman PS Pro" w:hAnsi="Times New Roman PS Pro" w:eastAsia="黑体" w:cs="Times New Roman PS Pro"/>
          <w:b w:val="0"/>
          <w:bCs w:val="0"/>
          <w:color w:val="auto"/>
          <w:sz w:val="32"/>
          <w:szCs w:val="32"/>
          <w:highlight w:val="none"/>
          <w:u w:val="none"/>
          <w:shd w:val="clear" w:color="auto" w:fill="auto"/>
        </w:rPr>
        <w:t>第七章  附则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pP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第</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二十八</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条</w:t>
      </w:r>
      <w:r>
        <w:rPr>
          <w:rFonts w:hint="default" w:ascii="Times New Roman PS Pro" w:hAnsi="Times New Roman PS Pro" w:eastAsia="仿宋_GB2312" w:cs="Times New Roman PS Pro"/>
          <w:b w:val="0"/>
          <w:bCs w:val="0"/>
          <w:color w:val="auto"/>
          <w:sz w:val="32"/>
          <w:szCs w:val="32"/>
          <w:highlight w:val="none"/>
          <w:u w:val="none"/>
          <w:shd w:val="clear" w:color="auto" w:fill="auto"/>
        </w:rPr>
        <w:t xml:space="preserve"> </w:t>
      </w:r>
      <w:r>
        <w:rPr>
          <w:rFonts w:hint="eastAsia" w:ascii="Times New Roman PS Pro" w:hAnsi="Times New Roman PS Pro" w:eastAsia="仿宋_GB2312" w:cs="Times New Roman PS Pro"/>
          <w:b w:val="0"/>
          <w:bCs w:val="0"/>
          <w:color w:val="auto"/>
          <w:sz w:val="32"/>
          <w:szCs w:val="32"/>
          <w:highlight w:val="none"/>
          <w:u w:val="none"/>
          <w:shd w:val="clear" w:color="auto" w:fill="auto"/>
          <w:lang w:eastAsia="zh-CN"/>
        </w:rPr>
        <w:t>各地政府投资项目参照本办法执行。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b w:val="0"/>
          <w:bCs w:val="0"/>
          <w:color w:val="auto"/>
          <w:highlight w:val="none"/>
        </w:rPr>
      </w:pP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第</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二十九</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条</w:t>
      </w:r>
      <w:r>
        <w:rPr>
          <w:rFonts w:hint="default" w:ascii="Times New Roman PS Pro" w:hAnsi="Times New Roman PS Pro" w:eastAsia="仿宋_GB2312" w:cs="Times New Roman PS Pro"/>
          <w:b w:val="0"/>
          <w:bCs w:val="0"/>
          <w:color w:val="auto"/>
          <w:sz w:val="32"/>
          <w:szCs w:val="32"/>
          <w:highlight w:val="none"/>
          <w:u w:val="none"/>
          <w:shd w:val="clear" w:color="auto" w:fill="auto"/>
        </w:rPr>
        <w:t xml:space="preserve"> 本</w:t>
      </w:r>
      <w:r>
        <w:rPr>
          <w:rFonts w:hint="default" w:ascii="Times New Roman PS Pro" w:hAnsi="Times New Roman PS Pro" w:eastAsia="仿宋_GB2312" w:cs="Times New Roman PS Pro"/>
          <w:b w:val="0"/>
          <w:bCs w:val="0"/>
          <w:color w:val="auto"/>
          <w:sz w:val="32"/>
          <w:szCs w:val="32"/>
          <w:highlight w:val="none"/>
          <w:u w:val="none"/>
          <w:shd w:val="clear" w:color="auto" w:fill="auto"/>
          <w:lang w:eastAsia="zh-CN"/>
        </w:rPr>
        <w:t>办法</w:t>
      </w:r>
      <w:r>
        <w:rPr>
          <w:rFonts w:hint="default" w:ascii="Times New Roman PS Pro" w:hAnsi="Times New Roman PS Pro" w:eastAsia="仿宋_GB2312" w:cs="Times New Roman PS Pro"/>
          <w:b w:val="0"/>
          <w:bCs w:val="0"/>
          <w:color w:val="auto"/>
          <w:sz w:val="32"/>
          <w:szCs w:val="32"/>
          <w:highlight w:val="none"/>
          <w:u w:val="none"/>
          <w:shd w:val="clear" w:color="auto" w:fill="auto"/>
        </w:rPr>
        <w:t>自</w:t>
      </w:r>
      <w:r>
        <w:rPr>
          <w:rFonts w:hint="default" w:ascii="Times New Roman PS Pro" w:hAnsi="Times New Roman PS Pro" w:eastAsia="仿宋_GB2312" w:cs="Times New Roman PS Pro"/>
          <w:b w:val="0"/>
          <w:bCs w:val="0"/>
          <w:color w:val="auto"/>
          <w:sz w:val="32"/>
          <w:szCs w:val="32"/>
          <w:highlight w:val="none"/>
          <w:u w:val="none"/>
          <w:shd w:val="clear" w:color="auto" w:fill="auto"/>
          <w:lang w:val="en-US" w:eastAsia="zh-CN"/>
        </w:rPr>
        <w:t>202</w:t>
      </w:r>
      <w:r>
        <w:rPr>
          <w:rFonts w:hint="eastAsia" w:ascii="Times New Roman PS Pro" w:hAnsi="Times New Roman PS Pro" w:eastAsia="仿宋_GB2312" w:cs="Times New Roman PS Pro"/>
          <w:b w:val="0"/>
          <w:bCs w:val="0"/>
          <w:color w:val="auto"/>
          <w:sz w:val="32"/>
          <w:szCs w:val="32"/>
          <w:highlight w:val="none"/>
          <w:u w:val="none"/>
          <w:shd w:val="clear" w:color="auto" w:fill="auto"/>
          <w:lang w:val="en-US" w:eastAsia="zh-CN"/>
        </w:rPr>
        <w:t>5</w:t>
      </w:r>
      <w:r>
        <w:rPr>
          <w:rFonts w:hint="default" w:ascii="Times New Roman PS Pro" w:hAnsi="Times New Roman PS Pro" w:eastAsia="仿宋_GB2312" w:cs="Times New Roman PS Pro"/>
          <w:b w:val="0"/>
          <w:bCs w:val="0"/>
          <w:color w:val="auto"/>
          <w:sz w:val="32"/>
          <w:szCs w:val="32"/>
          <w:highlight w:val="none"/>
          <w:u w:val="none"/>
          <w:shd w:val="clear" w:color="auto" w:fill="auto"/>
        </w:rPr>
        <w:t>年</w:t>
      </w:r>
      <w:r>
        <w:rPr>
          <w:rFonts w:hint="default" w:ascii="Times New Roman PS Pro" w:hAnsi="Times New Roman PS Pro" w:eastAsia="仿宋_GB2312" w:cs="Times New Roman PS Pro"/>
          <w:b w:val="0"/>
          <w:bCs w:val="0"/>
          <w:color w:val="auto"/>
          <w:sz w:val="32"/>
          <w:szCs w:val="32"/>
          <w:highlight w:val="none"/>
          <w:u w:val="none"/>
          <w:shd w:val="clear" w:color="auto" w:fill="auto"/>
          <w:lang w:val="en-US" w:eastAsia="zh-CN"/>
        </w:rPr>
        <w:t xml:space="preserve">  </w:t>
      </w:r>
      <w:r>
        <w:rPr>
          <w:rFonts w:hint="default" w:ascii="Times New Roman PS Pro" w:hAnsi="Times New Roman PS Pro" w:eastAsia="仿宋_GB2312" w:cs="Times New Roman PS Pro"/>
          <w:b w:val="0"/>
          <w:bCs w:val="0"/>
          <w:color w:val="auto"/>
          <w:sz w:val="32"/>
          <w:szCs w:val="32"/>
          <w:highlight w:val="none"/>
          <w:u w:val="none"/>
          <w:shd w:val="clear" w:color="auto" w:fill="auto"/>
        </w:rPr>
        <w:t>月  日起施行。</w:t>
      </w:r>
    </w:p>
    <w:p>
      <w:pPr>
        <w:keepNext w:val="0"/>
        <w:keepLines w:val="0"/>
        <w:pageBreakBefore w:val="0"/>
        <w:kinsoku/>
        <w:wordWrap/>
        <w:overflowPunct/>
        <w:topLinePunct w:val="0"/>
        <w:autoSpaceDE/>
        <w:autoSpaceDN/>
        <w:bidi w:val="0"/>
        <w:spacing w:line="560" w:lineRule="exact"/>
        <w:ind w:firstLine="420" w:firstLineChars="200"/>
        <w:textAlignment w:val="auto"/>
        <w:rPr>
          <w:b w:val="0"/>
          <w:bCs w:val="0"/>
          <w:color w:val="auto"/>
          <w:highlight w:val="none"/>
        </w:rPr>
      </w:pPr>
    </w:p>
    <w:sectPr>
      <w:headerReference r:id="rId3" w:type="default"/>
      <w:footerReference r:id="rId4" w:type="default"/>
      <w:pgSz w:w="11906" w:h="16838"/>
      <w:pgMar w:top="2041" w:right="1531" w:bottom="1928"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Times New Roman PS Pro">
    <w:panose1 w:val="02020603050405020304"/>
    <w:charset w:val="00"/>
    <w:family w:val="auto"/>
    <w:pitch w:val="default"/>
    <w:sig w:usb0="A00000AF" w:usb1="4000205B" w:usb2="00000000" w:usb3="00000000" w:csb0="20000093"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13</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7"/>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13</w:t>
                    </w:r>
                    <w:r>
                      <w:rPr>
                        <w:rFonts w:hint="eastAsia" w:ascii="宋体" w:hAnsi="宋体" w:eastAsia="宋体" w:cs="宋体"/>
                        <w:sz w:val="28"/>
                        <w:szCs w:val="28"/>
                      </w:rPr>
                      <w:fldChar w:fldCharType="end"/>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D7388"/>
    <w:multiLevelType w:val="singleLevel"/>
    <w:tmpl w:val="06FD7388"/>
    <w:lvl w:ilvl="0" w:tentative="0">
      <w:start w:val="1"/>
      <w:numFmt w:val="decimal"/>
      <w:pStyle w:val="6"/>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TrueTypeFonts/>
  <w:saveSubset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49116B"/>
    <w:rsid w:val="000E5D71"/>
    <w:rsid w:val="005E16A6"/>
    <w:rsid w:val="00FF0E03"/>
    <w:rsid w:val="010B1E00"/>
    <w:rsid w:val="0136732D"/>
    <w:rsid w:val="01D37272"/>
    <w:rsid w:val="02225B04"/>
    <w:rsid w:val="026954E1"/>
    <w:rsid w:val="028B59F6"/>
    <w:rsid w:val="033433CD"/>
    <w:rsid w:val="035A410F"/>
    <w:rsid w:val="03B92498"/>
    <w:rsid w:val="04BD08D2"/>
    <w:rsid w:val="04F25C61"/>
    <w:rsid w:val="04F75026"/>
    <w:rsid w:val="05036F0A"/>
    <w:rsid w:val="05597A8E"/>
    <w:rsid w:val="056C4068"/>
    <w:rsid w:val="05931151"/>
    <w:rsid w:val="05E13878"/>
    <w:rsid w:val="06496B3D"/>
    <w:rsid w:val="06C76C7A"/>
    <w:rsid w:val="06CB0518"/>
    <w:rsid w:val="07264CC6"/>
    <w:rsid w:val="08406CE4"/>
    <w:rsid w:val="086C5D2B"/>
    <w:rsid w:val="08732C15"/>
    <w:rsid w:val="08901A19"/>
    <w:rsid w:val="08C640F8"/>
    <w:rsid w:val="08DB07BA"/>
    <w:rsid w:val="09927A92"/>
    <w:rsid w:val="09D3250B"/>
    <w:rsid w:val="0A1421D6"/>
    <w:rsid w:val="0A195A3E"/>
    <w:rsid w:val="0A4C64D2"/>
    <w:rsid w:val="0A665632"/>
    <w:rsid w:val="0BD10FD4"/>
    <w:rsid w:val="0BDF7B09"/>
    <w:rsid w:val="0BEA7692"/>
    <w:rsid w:val="0CCE6F78"/>
    <w:rsid w:val="0CE265BB"/>
    <w:rsid w:val="0D570D57"/>
    <w:rsid w:val="0D830E03"/>
    <w:rsid w:val="0DD759F4"/>
    <w:rsid w:val="0E0D6FCA"/>
    <w:rsid w:val="0E0E518E"/>
    <w:rsid w:val="0E484B44"/>
    <w:rsid w:val="0EAF24CD"/>
    <w:rsid w:val="0EB06E60"/>
    <w:rsid w:val="0F543075"/>
    <w:rsid w:val="0F5C32C3"/>
    <w:rsid w:val="0F73DAD4"/>
    <w:rsid w:val="0FB9142E"/>
    <w:rsid w:val="10AC760C"/>
    <w:rsid w:val="11603F53"/>
    <w:rsid w:val="11C24C0D"/>
    <w:rsid w:val="11E3705D"/>
    <w:rsid w:val="11FD111F"/>
    <w:rsid w:val="122C48A4"/>
    <w:rsid w:val="12AB56A1"/>
    <w:rsid w:val="12B97DBE"/>
    <w:rsid w:val="12D50B2C"/>
    <w:rsid w:val="131C20FB"/>
    <w:rsid w:val="133631BD"/>
    <w:rsid w:val="13660293"/>
    <w:rsid w:val="13ED6665"/>
    <w:rsid w:val="146C604B"/>
    <w:rsid w:val="14755F67"/>
    <w:rsid w:val="15724254"/>
    <w:rsid w:val="164E081E"/>
    <w:rsid w:val="1664769B"/>
    <w:rsid w:val="17255A22"/>
    <w:rsid w:val="17832749"/>
    <w:rsid w:val="179C380B"/>
    <w:rsid w:val="17DD62FD"/>
    <w:rsid w:val="17ED8A7C"/>
    <w:rsid w:val="1901426D"/>
    <w:rsid w:val="193E287A"/>
    <w:rsid w:val="194303E2"/>
    <w:rsid w:val="19600F94"/>
    <w:rsid w:val="199155F1"/>
    <w:rsid w:val="19AC0E79"/>
    <w:rsid w:val="19EA2F53"/>
    <w:rsid w:val="1A49116B"/>
    <w:rsid w:val="1A862EC0"/>
    <w:rsid w:val="1AA2382E"/>
    <w:rsid w:val="1B43291B"/>
    <w:rsid w:val="1B5763BA"/>
    <w:rsid w:val="1B707488"/>
    <w:rsid w:val="1BA64C58"/>
    <w:rsid w:val="1BC16CEB"/>
    <w:rsid w:val="1BFC888D"/>
    <w:rsid w:val="1C252A2E"/>
    <w:rsid w:val="1C446377"/>
    <w:rsid w:val="1C7B67DE"/>
    <w:rsid w:val="1C897AF9"/>
    <w:rsid w:val="1CBE55B6"/>
    <w:rsid w:val="1CFF2872"/>
    <w:rsid w:val="1D1125A5"/>
    <w:rsid w:val="1D1F1166"/>
    <w:rsid w:val="1D2E3157"/>
    <w:rsid w:val="1DAB5641"/>
    <w:rsid w:val="1DB21FDA"/>
    <w:rsid w:val="1DDE2DCF"/>
    <w:rsid w:val="1DF12B02"/>
    <w:rsid w:val="1E1665EA"/>
    <w:rsid w:val="1E594203"/>
    <w:rsid w:val="1E8A6AB3"/>
    <w:rsid w:val="1ECC0E79"/>
    <w:rsid w:val="1EF24FA6"/>
    <w:rsid w:val="201605FE"/>
    <w:rsid w:val="20176124"/>
    <w:rsid w:val="210963B5"/>
    <w:rsid w:val="21162880"/>
    <w:rsid w:val="211B6926"/>
    <w:rsid w:val="21242F74"/>
    <w:rsid w:val="212A5BF7"/>
    <w:rsid w:val="212E3725"/>
    <w:rsid w:val="21852C8B"/>
    <w:rsid w:val="218849EB"/>
    <w:rsid w:val="21D56297"/>
    <w:rsid w:val="21F94FCB"/>
    <w:rsid w:val="22D87DED"/>
    <w:rsid w:val="22E26EBD"/>
    <w:rsid w:val="23580F2E"/>
    <w:rsid w:val="237A6EBD"/>
    <w:rsid w:val="23F2473C"/>
    <w:rsid w:val="23FC6C77"/>
    <w:rsid w:val="24314289"/>
    <w:rsid w:val="246851A0"/>
    <w:rsid w:val="24D22DF6"/>
    <w:rsid w:val="24FD0D5F"/>
    <w:rsid w:val="2500187D"/>
    <w:rsid w:val="251B1C2A"/>
    <w:rsid w:val="253A43E5"/>
    <w:rsid w:val="25BE31A1"/>
    <w:rsid w:val="26664013"/>
    <w:rsid w:val="2674607E"/>
    <w:rsid w:val="270E75A2"/>
    <w:rsid w:val="275428D9"/>
    <w:rsid w:val="27554C8A"/>
    <w:rsid w:val="275B723E"/>
    <w:rsid w:val="27B55209"/>
    <w:rsid w:val="27D760CD"/>
    <w:rsid w:val="27FD02F5"/>
    <w:rsid w:val="28380CC8"/>
    <w:rsid w:val="286B525F"/>
    <w:rsid w:val="2875540E"/>
    <w:rsid w:val="2967011C"/>
    <w:rsid w:val="296F5223"/>
    <w:rsid w:val="29BE1CBB"/>
    <w:rsid w:val="2A467D32"/>
    <w:rsid w:val="2A784B2D"/>
    <w:rsid w:val="2BCE6231"/>
    <w:rsid w:val="2BDE3F9A"/>
    <w:rsid w:val="2BDFC407"/>
    <w:rsid w:val="2C5E2660"/>
    <w:rsid w:val="2C671545"/>
    <w:rsid w:val="2CCB451E"/>
    <w:rsid w:val="2D0B0DBF"/>
    <w:rsid w:val="2D5C5B9B"/>
    <w:rsid w:val="2DC72F38"/>
    <w:rsid w:val="2DDEE167"/>
    <w:rsid w:val="2DFC79A8"/>
    <w:rsid w:val="2E967AF4"/>
    <w:rsid w:val="2EA528D0"/>
    <w:rsid w:val="2EA66FF1"/>
    <w:rsid w:val="2F6D2A2C"/>
    <w:rsid w:val="2F7C41F6"/>
    <w:rsid w:val="2FD45CD4"/>
    <w:rsid w:val="3009663C"/>
    <w:rsid w:val="301167C3"/>
    <w:rsid w:val="30661B74"/>
    <w:rsid w:val="30782C0F"/>
    <w:rsid w:val="30F95D3F"/>
    <w:rsid w:val="317E1D05"/>
    <w:rsid w:val="31813D45"/>
    <w:rsid w:val="31A0241D"/>
    <w:rsid w:val="31AD4B3A"/>
    <w:rsid w:val="31CA749A"/>
    <w:rsid w:val="31E10102"/>
    <w:rsid w:val="31E240C3"/>
    <w:rsid w:val="323806C1"/>
    <w:rsid w:val="323B2146"/>
    <w:rsid w:val="327B2543"/>
    <w:rsid w:val="327C031F"/>
    <w:rsid w:val="32852B7B"/>
    <w:rsid w:val="33441055"/>
    <w:rsid w:val="335334BF"/>
    <w:rsid w:val="33DC34B5"/>
    <w:rsid w:val="340D0144"/>
    <w:rsid w:val="344C063B"/>
    <w:rsid w:val="34C72E2C"/>
    <w:rsid w:val="350727B3"/>
    <w:rsid w:val="350C1B78"/>
    <w:rsid w:val="35522C8A"/>
    <w:rsid w:val="3555351F"/>
    <w:rsid w:val="35BC17F0"/>
    <w:rsid w:val="35D95EFE"/>
    <w:rsid w:val="35F5085E"/>
    <w:rsid w:val="361C403D"/>
    <w:rsid w:val="367B5207"/>
    <w:rsid w:val="36963DEF"/>
    <w:rsid w:val="36D36DF1"/>
    <w:rsid w:val="36F47976"/>
    <w:rsid w:val="373F6235"/>
    <w:rsid w:val="3747231F"/>
    <w:rsid w:val="374F724D"/>
    <w:rsid w:val="37B26A07"/>
    <w:rsid w:val="381B27FE"/>
    <w:rsid w:val="38367638"/>
    <w:rsid w:val="3881462B"/>
    <w:rsid w:val="389205E6"/>
    <w:rsid w:val="38A0046D"/>
    <w:rsid w:val="38CC3AF8"/>
    <w:rsid w:val="38D64977"/>
    <w:rsid w:val="38E81ADE"/>
    <w:rsid w:val="390F142C"/>
    <w:rsid w:val="39161217"/>
    <w:rsid w:val="39461AFC"/>
    <w:rsid w:val="39553A56"/>
    <w:rsid w:val="3956004C"/>
    <w:rsid w:val="39641F82"/>
    <w:rsid w:val="39B854B8"/>
    <w:rsid w:val="39D013C6"/>
    <w:rsid w:val="3A092B2A"/>
    <w:rsid w:val="3A26189D"/>
    <w:rsid w:val="3A6311F6"/>
    <w:rsid w:val="3A7B6D86"/>
    <w:rsid w:val="3A8B353F"/>
    <w:rsid w:val="3A8D72B7"/>
    <w:rsid w:val="3AC802EF"/>
    <w:rsid w:val="3ADD1FEC"/>
    <w:rsid w:val="3ADE5D64"/>
    <w:rsid w:val="3AFB6E6F"/>
    <w:rsid w:val="3B3223AB"/>
    <w:rsid w:val="3B365BA1"/>
    <w:rsid w:val="3B5F38A1"/>
    <w:rsid w:val="3C0812EB"/>
    <w:rsid w:val="3C2105FF"/>
    <w:rsid w:val="3C4D31A2"/>
    <w:rsid w:val="3CA60EB7"/>
    <w:rsid w:val="3CCA47F2"/>
    <w:rsid w:val="3D0038A0"/>
    <w:rsid w:val="3D0657A9"/>
    <w:rsid w:val="3D406863"/>
    <w:rsid w:val="3D6A1D72"/>
    <w:rsid w:val="3DCA206F"/>
    <w:rsid w:val="3E3D2DA2"/>
    <w:rsid w:val="3E6C1E03"/>
    <w:rsid w:val="3E8A0BED"/>
    <w:rsid w:val="3E9B1F29"/>
    <w:rsid w:val="3EB02CBF"/>
    <w:rsid w:val="3F3917BB"/>
    <w:rsid w:val="3F620D12"/>
    <w:rsid w:val="3FB928FC"/>
    <w:rsid w:val="3FD67EEA"/>
    <w:rsid w:val="3FF04570"/>
    <w:rsid w:val="401D2E8B"/>
    <w:rsid w:val="405B10A3"/>
    <w:rsid w:val="409643C0"/>
    <w:rsid w:val="40D23C76"/>
    <w:rsid w:val="412B3CFA"/>
    <w:rsid w:val="412E149E"/>
    <w:rsid w:val="41B94E35"/>
    <w:rsid w:val="41DE664A"/>
    <w:rsid w:val="41F12A49"/>
    <w:rsid w:val="42BD14C0"/>
    <w:rsid w:val="42CE0B28"/>
    <w:rsid w:val="43675A04"/>
    <w:rsid w:val="43AC6A00"/>
    <w:rsid w:val="440C435C"/>
    <w:rsid w:val="44372678"/>
    <w:rsid w:val="44636A1F"/>
    <w:rsid w:val="45232CF2"/>
    <w:rsid w:val="453C3A68"/>
    <w:rsid w:val="45A8769B"/>
    <w:rsid w:val="4607616F"/>
    <w:rsid w:val="4654337F"/>
    <w:rsid w:val="4691012F"/>
    <w:rsid w:val="46A9191C"/>
    <w:rsid w:val="46F74436"/>
    <w:rsid w:val="471D0574"/>
    <w:rsid w:val="47376F28"/>
    <w:rsid w:val="4743767B"/>
    <w:rsid w:val="47655843"/>
    <w:rsid w:val="479003E6"/>
    <w:rsid w:val="48024364"/>
    <w:rsid w:val="48030BB8"/>
    <w:rsid w:val="488B752C"/>
    <w:rsid w:val="48E924A4"/>
    <w:rsid w:val="490270C2"/>
    <w:rsid w:val="490E1F0B"/>
    <w:rsid w:val="491D5CAA"/>
    <w:rsid w:val="494B2817"/>
    <w:rsid w:val="49BE56DF"/>
    <w:rsid w:val="49E14F29"/>
    <w:rsid w:val="4A2117CA"/>
    <w:rsid w:val="4A7364C9"/>
    <w:rsid w:val="4AFA6EC3"/>
    <w:rsid w:val="4B3E2E80"/>
    <w:rsid w:val="4B8C6FC0"/>
    <w:rsid w:val="4B924743"/>
    <w:rsid w:val="4BA74DD9"/>
    <w:rsid w:val="4C683E31"/>
    <w:rsid w:val="4CB53758"/>
    <w:rsid w:val="4CE511D4"/>
    <w:rsid w:val="4CF907DC"/>
    <w:rsid w:val="4D144D0B"/>
    <w:rsid w:val="4D6E270C"/>
    <w:rsid w:val="4D783DF7"/>
    <w:rsid w:val="4D7E765F"/>
    <w:rsid w:val="4DA1334D"/>
    <w:rsid w:val="4DD31F75"/>
    <w:rsid w:val="4DD95939"/>
    <w:rsid w:val="4E166672"/>
    <w:rsid w:val="4E485577"/>
    <w:rsid w:val="4E76619B"/>
    <w:rsid w:val="4E7740AE"/>
    <w:rsid w:val="4E8C7B5A"/>
    <w:rsid w:val="4E904B92"/>
    <w:rsid w:val="4E962786"/>
    <w:rsid w:val="4EAD471B"/>
    <w:rsid w:val="4F132029"/>
    <w:rsid w:val="4F185D06"/>
    <w:rsid w:val="4F400944"/>
    <w:rsid w:val="4F4421E2"/>
    <w:rsid w:val="4FB01626"/>
    <w:rsid w:val="4FE319FB"/>
    <w:rsid w:val="4FFF5B48"/>
    <w:rsid w:val="504F0C4F"/>
    <w:rsid w:val="50770396"/>
    <w:rsid w:val="50E61077"/>
    <w:rsid w:val="50EC2B32"/>
    <w:rsid w:val="518002D4"/>
    <w:rsid w:val="5211264F"/>
    <w:rsid w:val="52683063"/>
    <w:rsid w:val="529F291F"/>
    <w:rsid w:val="52C378C2"/>
    <w:rsid w:val="52EA4E4F"/>
    <w:rsid w:val="52F6721A"/>
    <w:rsid w:val="53566988"/>
    <w:rsid w:val="53D004E8"/>
    <w:rsid w:val="542E3461"/>
    <w:rsid w:val="545D78A2"/>
    <w:rsid w:val="55563C7F"/>
    <w:rsid w:val="557803A8"/>
    <w:rsid w:val="56644F18"/>
    <w:rsid w:val="56835CE6"/>
    <w:rsid w:val="568C3447"/>
    <w:rsid w:val="56EF6ED8"/>
    <w:rsid w:val="57415259"/>
    <w:rsid w:val="57A54901"/>
    <w:rsid w:val="57B65C47"/>
    <w:rsid w:val="57E8209D"/>
    <w:rsid w:val="58111310"/>
    <w:rsid w:val="58515970"/>
    <w:rsid w:val="5860518C"/>
    <w:rsid w:val="5889510A"/>
    <w:rsid w:val="59123351"/>
    <w:rsid w:val="591C41D0"/>
    <w:rsid w:val="594843FF"/>
    <w:rsid w:val="596D2336"/>
    <w:rsid w:val="59922F80"/>
    <w:rsid w:val="5A090FF0"/>
    <w:rsid w:val="5A746BD9"/>
    <w:rsid w:val="5A83497B"/>
    <w:rsid w:val="5AEE74A6"/>
    <w:rsid w:val="5B092532"/>
    <w:rsid w:val="5B136F0D"/>
    <w:rsid w:val="5B2335F4"/>
    <w:rsid w:val="5B3F7D02"/>
    <w:rsid w:val="5B523ED9"/>
    <w:rsid w:val="5B6C0234"/>
    <w:rsid w:val="5BD92F2A"/>
    <w:rsid w:val="5C1D7BD9"/>
    <w:rsid w:val="5C4A4BB0"/>
    <w:rsid w:val="5C4E7981"/>
    <w:rsid w:val="5C5242AB"/>
    <w:rsid w:val="5CBC5AAE"/>
    <w:rsid w:val="5CBF734C"/>
    <w:rsid w:val="5CC44962"/>
    <w:rsid w:val="5CF52D6E"/>
    <w:rsid w:val="5CF765A7"/>
    <w:rsid w:val="5D0607CD"/>
    <w:rsid w:val="5D1C654D"/>
    <w:rsid w:val="5DA327CA"/>
    <w:rsid w:val="5DEA664B"/>
    <w:rsid w:val="5DF6AC1E"/>
    <w:rsid w:val="5E2A6A47"/>
    <w:rsid w:val="5E56783C"/>
    <w:rsid w:val="5E6A778C"/>
    <w:rsid w:val="5E820631"/>
    <w:rsid w:val="5EC60009"/>
    <w:rsid w:val="5EFF231B"/>
    <w:rsid w:val="5FDC6445"/>
    <w:rsid w:val="5FFDB666"/>
    <w:rsid w:val="60A97348"/>
    <w:rsid w:val="60D13AF2"/>
    <w:rsid w:val="611539DF"/>
    <w:rsid w:val="61433767"/>
    <w:rsid w:val="61677FB2"/>
    <w:rsid w:val="61D96045"/>
    <w:rsid w:val="61FC06FB"/>
    <w:rsid w:val="621F3644"/>
    <w:rsid w:val="6299419B"/>
    <w:rsid w:val="62B40FD5"/>
    <w:rsid w:val="62CA6A4B"/>
    <w:rsid w:val="62E47B0C"/>
    <w:rsid w:val="63051831"/>
    <w:rsid w:val="637970C3"/>
    <w:rsid w:val="63853558"/>
    <w:rsid w:val="641E0DFC"/>
    <w:rsid w:val="64300825"/>
    <w:rsid w:val="645C1BE0"/>
    <w:rsid w:val="64A10CEF"/>
    <w:rsid w:val="64B4350F"/>
    <w:rsid w:val="64BF4111"/>
    <w:rsid w:val="64CB5623"/>
    <w:rsid w:val="64EA5182"/>
    <w:rsid w:val="64F2623B"/>
    <w:rsid w:val="65051FBC"/>
    <w:rsid w:val="651915C4"/>
    <w:rsid w:val="65385EEE"/>
    <w:rsid w:val="65444892"/>
    <w:rsid w:val="65541E4C"/>
    <w:rsid w:val="6569254B"/>
    <w:rsid w:val="65853702"/>
    <w:rsid w:val="65BC77C4"/>
    <w:rsid w:val="65DC4ACB"/>
    <w:rsid w:val="65F71905"/>
    <w:rsid w:val="661A3845"/>
    <w:rsid w:val="661E3335"/>
    <w:rsid w:val="6659611C"/>
    <w:rsid w:val="666D1BC7"/>
    <w:rsid w:val="66D907E4"/>
    <w:rsid w:val="67024A05"/>
    <w:rsid w:val="67837EE3"/>
    <w:rsid w:val="67A23AF2"/>
    <w:rsid w:val="67B850C4"/>
    <w:rsid w:val="67CED9D0"/>
    <w:rsid w:val="67E125C7"/>
    <w:rsid w:val="67F54B34"/>
    <w:rsid w:val="67FC3CC5"/>
    <w:rsid w:val="68262975"/>
    <w:rsid w:val="683A3D2B"/>
    <w:rsid w:val="691D5B26"/>
    <w:rsid w:val="6927E922"/>
    <w:rsid w:val="69951B60"/>
    <w:rsid w:val="69977BA8"/>
    <w:rsid w:val="69EE7FF5"/>
    <w:rsid w:val="6A1C3809"/>
    <w:rsid w:val="6A1C4324"/>
    <w:rsid w:val="6AA3205B"/>
    <w:rsid w:val="6AE12B83"/>
    <w:rsid w:val="6B873576"/>
    <w:rsid w:val="6BD34BC2"/>
    <w:rsid w:val="6C2E3BA6"/>
    <w:rsid w:val="6C4F430C"/>
    <w:rsid w:val="6CB7D4D9"/>
    <w:rsid w:val="6D4F63E5"/>
    <w:rsid w:val="6D7A772A"/>
    <w:rsid w:val="6D995997"/>
    <w:rsid w:val="6DD590C0"/>
    <w:rsid w:val="6DD99AA9"/>
    <w:rsid w:val="6DDF03B1"/>
    <w:rsid w:val="6DE20EBB"/>
    <w:rsid w:val="6EAD34A8"/>
    <w:rsid w:val="6EB365E5"/>
    <w:rsid w:val="6ED21161"/>
    <w:rsid w:val="6EF7153D"/>
    <w:rsid w:val="6F0F0E51"/>
    <w:rsid w:val="6F7C2E7B"/>
    <w:rsid w:val="6F7E6BF3"/>
    <w:rsid w:val="6FBF7948"/>
    <w:rsid w:val="6FDC5F9A"/>
    <w:rsid w:val="6FF13869"/>
    <w:rsid w:val="6FFB90D7"/>
    <w:rsid w:val="70470A1D"/>
    <w:rsid w:val="70C941CE"/>
    <w:rsid w:val="713708CC"/>
    <w:rsid w:val="71724535"/>
    <w:rsid w:val="725274DD"/>
    <w:rsid w:val="727367B7"/>
    <w:rsid w:val="728C7879"/>
    <w:rsid w:val="732E6B82"/>
    <w:rsid w:val="73FF66E4"/>
    <w:rsid w:val="743708F7"/>
    <w:rsid w:val="74D06143"/>
    <w:rsid w:val="750E0241"/>
    <w:rsid w:val="752124FA"/>
    <w:rsid w:val="75A90742"/>
    <w:rsid w:val="75AD3D8E"/>
    <w:rsid w:val="75C17839"/>
    <w:rsid w:val="75D562C9"/>
    <w:rsid w:val="7645755B"/>
    <w:rsid w:val="768C7E47"/>
    <w:rsid w:val="76B49A34"/>
    <w:rsid w:val="76D06B58"/>
    <w:rsid w:val="76D10B32"/>
    <w:rsid w:val="76EA6BA6"/>
    <w:rsid w:val="76FF7AD9"/>
    <w:rsid w:val="7775CCAC"/>
    <w:rsid w:val="7797C38B"/>
    <w:rsid w:val="77DE2C61"/>
    <w:rsid w:val="77EF4B32"/>
    <w:rsid w:val="77F9775E"/>
    <w:rsid w:val="783364A5"/>
    <w:rsid w:val="78433660"/>
    <w:rsid w:val="7878290E"/>
    <w:rsid w:val="78C12F29"/>
    <w:rsid w:val="7924080B"/>
    <w:rsid w:val="79C350D5"/>
    <w:rsid w:val="79E955B1"/>
    <w:rsid w:val="7A266805"/>
    <w:rsid w:val="7B5A6766"/>
    <w:rsid w:val="7B5FF385"/>
    <w:rsid w:val="7BF350B5"/>
    <w:rsid w:val="7BFF0043"/>
    <w:rsid w:val="7C09018C"/>
    <w:rsid w:val="7C9F25F3"/>
    <w:rsid w:val="7CBF7476"/>
    <w:rsid w:val="7CCA16C9"/>
    <w:rsid w:val="7CE3278B"/>
    <w:rsid w:val="7CFD12BC"/>
    <w:rsid w:val="7CFD384D"/>
    <w:rsid w:val="7D697134"/>
    <w:rsid w:val="7D731D61"/>
    <w:rsid w:val="7D876E00"/>
    <w:rsid w:val="7DA57A41"/>
    <w:rsid w:val="7E034224"/>
    <w:rsid w:val="7E4668FE"/>
    <w:rsid w:val="7E4D4360"/>
    <w:rsid w:val="7E7B4333"/>
    <w:rsid w:val="7EB75C7D"/>
    <w:rsid w:val="7EBD7DD8"/>
    <w:rsid w:val="7ED528FE"/>
    <w:rsid w:val="7ED7310D"/>
    <w:rsid w:val="7EDFBA37"/>
    <w:rsid w:val="7EED95AB"/>
    <w:rsid w:val="7F01339C"/>
    <w:rsid w:val="7F313615"/>
    <w:rsid w:val="7F3DFDBE"/>
    <w:rsid w:val="7F8A3392"/>
    <w:rsid w:val="7F9755D6"/>
    <w:rsid w:val="7FCE327F"/>
    <w:rsid w:val="7FD74A90"/>
    <w:rsid w:val="7FDFD949"/>
    <w:rsid w:val="7FF345C0"/>
    <w:rsid w:val="7FF72A24"/>
    <w:rsid w:val="9FBFD28D"/>
    <w:rsid w:val="A77A5EC0"/>
    <w:rsid w:val="AF8D5E67"/>
    <w:rsid w:val="B2FAC13A"/>
    <w:rsid w:val="B7B7FAC7"/>
    <w:rsid w:val="BBBE6D44"/>
    <w:rsid w:val="BCE6F54B"/>
    <w:rsid w:val="BD970D4B"/>
    <w:rsid w:val="BECFA051"/>
    <w:rsid w:val="BFC72047"/>
    <w:rsid w:val="C95D7040"/>
    <w:rsid w:val="CA8BCEFF"/>
    <w:rsid w:val="CBBBAB48"/>
    <w:rsid w:val="CF7AA746"/>
    <w:rsid w:val="CFDF145A"/>
    <w:rsid w:val="CFFF1458"/>
    <w:rsid w:val="D3FDD5C4"/>
    <w:rsid w:val="D5EF66DA"/>
    <w:rsid w:val="D7FCC8DD"/>
    <w:rsid w:val="D9DFDA83"/>
    <w:rsid w:val="D9F593CD"/>
    <w:rsid w:val="DB6D552E"/>
    <w:rsid w:val="DBDBE081"/>
    <w:rsid w:val="DC57CAE3"/>
    <w:rsid w:val="DDF3DF3B"/>
    <w:rsid w:val="DDFD323E"/>
    <w:rsid w:val="DFEB2E92"/>
    <w:rsid w:val="DFFABC3A"/>
    <w:rsid w:val="E61F0EBA"/>
    <w:rsid w:val="EBFBA230"/>
    <w:rsid w:val="ED6F5A40"/>
    <w:rsid w:val="EFFDC59D"/>
    <w:rsid w:val="EFFFDC37"/>
    <w:rsid w:val="F3F2CF1B"/>
    <w:rsid w:val="F3FFFD3F"/>
    <w:rsid w:val="FBFFC31C"/>
    <w:rsid w:val="FDDDCE0A"/>
    <w:rsid w:val="FDDEB357"/>
    <w:rsid w:val="FDFFF927"/>
    <w:rsid w:val="FEA6E711"/>
    <w:rsid w:val="FEFED0BD"/>
    <w:rsid w:val="FEFF1ABD"/>
    <w:rsid w:val="FF5FFD81"/>
    <w:rsid w:val="FF7A7486"/>
    <w:rsid w:val="FFA62880"/>
    <w:rsid w:val="FFBF21D1"/>
    <w:rsid w:val="FFDEBEB1"/>
    <w:rsid w:val="FFDF0B31"/>
    <w:rsid w:val="FFF757DE"/>
    <w:rsid w:val="FFFC6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ind w:firstLine="0" w:firstLineChars="0"/>
      <w:outlineLvl w:val="0"/>
    </w:pPr>
    <w:rPr>
      <w:rFonts w:ascii="Times New Roman" w:hAnsi="Times New Roman" w:eastAsia="方正黑体_GBK"/>
      <w:kern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Indent"/>
    <w:basedOn w:val="1"/>
    <w:next w:val="4"/>
    <w:unhideWhenUsed/>
    <w:qFormat/>
    <w:uiPriority w:val="99"/>
    <w:pPr>
      <w:spacing w:after="120"/>
      <w:ind w:left="420" w:leftChars="200"/>
    </w:pPr>
  </w:style>
  <w:style w:type="paragraph" w:styleId="4">
    <w:name w:val="Body Text First Indent 2"/>
    <w:basedOn w:val="3"/>
    <w:next w:val="5"/>
    <w:unhideWhenUsed/>
    <w:qFormat/>
    <w:uiPriority w:val="99"/>
    <w:pPr>
      <w:ind w:firstLine="420" w:firstLineChars="200"/>
    </w:pPr>
  </w:style>
  <w:style w:type="paragraph" w:styleId="5">
    <w:name w:val="Plain Text"/>
    <w:basedOn w:val="1"/>
    <w:next w:val="6"/>
    <w:qFormat/>
    <w:uiPriority w:val="0"/>
    <w:rPr>
      <w:rFonts w:ascii="宋体" w:hAnsi="Courier New" w:eastAsia="宋体" w:cs="Courier New"/>
      <w:szCs w:val="21"/>
    </w:rPr>
  </w:style>
  <w:style w:type="paragraph" w:styleId="6">
    <w:name w:val="List Number 5"/>
    <w:basedOn w:val="1"/>
    <w:qFormat/>
    <w:uiPriority w:val="0"/>
    <w:pPr>
      <w:numPr>
        <w:ilvl w:val="0"/>
        <w:numId w:val="1"/>
      </w:numPr>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1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6489</Words>
  <Characters>6547</Characters>
  <Lines>0</Lines>
  <Paragraphs>0</Paragraphs>
  <TotalTime>2</TotalTime>
  <ScaleCrop>false</ScaleCrop>
  <LinksUpToDate>false</LinksUpToDate>
  <CharactersWithSpaces>6576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2025-03-27T19:36:00Z</dcterms:created>
  <dc:creator>零点</dc:creator>
  <cp:lastModifiedBy>张永亮</cp:lastModifiedBy>
  <dcterms:modified xsi:type="dcterms:W3CDTF">2025-06-16T10:56:22Z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4856384ECC0D28AF60E72B687699EC8B</vt:lpwstr>
  </property>
  <property fmtid="{D5CDD505-2E9C-101B-9397-08002B2CF9AE}" pid="4" name="KSOTemplateDocerSaveRecord">
    <vt:lpwstr>eyJoZGlkIjoiYjU4YjU5NDRiZTQzYjM4YzAyMWQ5NjljMzg3MzczMDkiLCJ1c2VySWQiOiIyNDY2Njg1NDkifQ==</vt:lpwstr>
  </property>
</Properties>
</file>