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52374">
      <w:pPr>
        <w:keepNext w:val="0"/>
        <w:keepLines w:val="0"/>
        <w:pageBreakBefore w:val="0"/>
        <w:widowControl w:val="0"/>
        <w:kinsoku w:val="0"/>
        <w:wordWrap/>
        <w:overflowPunct/>
        <w:topLinePunct/>
        <w:autoSpaceDE/>
        <w:autoSpaceDN/>
        <w:bidi w:val="0"/>
        <w:adjustRightInd/>
        <w:snapToGrid/>
        <w:spacing w:beforeLines="0" w:after="0" w:afterLines="0" w:line="550" w:lineRule="exact"/>
        <w:jc w:val="both"/>
        <w:textAlignment w:val="auto"/>
        <w:rPr>
          <w:rFonts w:hint="eastAsia" w:ascii="黑体" w:hAnsi="黑体" w:eastAsia="黑体" w:cs="黑体"/>
          <w:color w:val="000000" w:themeColor="text1"/>
          <w:sz w:val="32"/>
          <w:szCs w:val="32"/>
          <w:highlight w:val="none"/>
          <w:lang w:eastAsia="zh"/>
          <w14:textFill>
            <w14:solidFill>
              <w14:schemeClr w14:val="tx1"/>
            </w14:solidFill>
          </w14:textFill>
        </w:rPr>
      </w:pPr>
      <w:bookmarkStart w:id="0" w:name="_Hlk205822018"/>
      <w:r>
        <w:rPr>
          <w:rFonts w:hint="eastAsia" w:ascii="黑体" w:hAnsi="黑体" w:eastAsia="黑体" w:cs="黑体"/>
          <w:color w:val="000000" w:themeColor="text1"/>
          <w:sz w:val="32"/>
          <w:szCs w:val="32"/>
          <w:highlight w:val="none"/>
          <w:lang w:eastAsia="zh"/>
          <w14:textFill>
            <w14:solidFill>
              <w14:schemeClr w14:val="tx1"/>
            </w14:solidFill>
          </w14:textFill>
        </w:rPr>
        <w:t>附件</w:t>
      </w:r>
    </w:p>
    <w:p w14:paraId="33E285B1">
      <w:pPr>
        <w:keepNext w:val="0"/>
        <w:keepLines w:val="0"/>
        <w:pageBreakBefore w:val="0"/>
        <w:widowControl w:val="0"/>
        <w:kinsoku w:val="0"/>
        <w:wordWrap/>
        <w:overflowPunct/>
        <w:topLinePunct/>
        <w:autoSpaceDE/>
        <w:autoSpaceDN/>
        <w:bidi w:val="0"/>
        <w:adjustRightInd/>
        <w:snapToGrid/>
        <w:spacing w:beforeLines="0" w:after="0" w:afterLines="0" w:line="550" w:lineRule="exact"/>
        <w:jc w:val="both"/>
        <w:textAlignment w:val="auto"/>
        <w:rPr>
          <w:rFonts w:hint="eastAsia" w:ascii="方正小标宋简体" w:hAnsi="Times New Roman" w:eastAsia="方正小标宋简体" w:cs="Times New Roman"/>
          <w:color w:val="000000" w:themeColor="text1"/>
          <w:sz w:val="44"/>
          <w:szCs w:val="44"/>
          <w:highlight w:val="none"/>
          <w14:textFill>
            <w14:solidFill>
              <w14:schemeClr w14:val="tx1"/>
            </w14:solidFill>
          </w14:textFill>
        </w:rPr>
      </w:pPr>
    </w:p>
    <w:p w14:paraId="695DF8AE">
      <w:pPr>
        <w:keepNext w:val="0"/>
        <w:keepLines w:val="0"/>
        <w:pageBreakBefore w:val="0"/>
        <w:widowControl w:val="0"/>
        <w:kinsoku w:val="0"/>
        <w:wordWrap/>
        <w:overflowPunct/>
        <w:topLinePunct/>
        <w:autoSpaceDE/>
        <w:autoSpaceDN/>
        <w:bidi w:val="0"/>
        <w:adjustRightInd/>
        <w:snapToGrid/>
        <w:spacing w:beforeLines="0" w:after="0" w:afterLines="0" w:line="550" w:lineRule="exact"/>
        <w:jc w:val="center"/>
        <w:textAlignment w:val="auto"/>
        <w:rPr>
          <w:rFonts w:ascii="方正小标宋简体" w:hAnsi="Times New Roman" w:eastAsia="方正小标宋简体" w:cs="Times New Roman"/>
          <w:color w:val="000000" w:themeColor="text1"/>
          <w:sz w:val="44"/>
          <w:szCs w:val="44"/>
          <w:highlight w:val="none"/>
          <w14:textFill>
            <w14:solidFill>
              <w14:schemeClr w14:val="tx1"/>
            </w14:solidFill>
          </w14:textFill>
        </w:rPr>
      </w:pPr>
      <w:r>
        <w:rPr>
          <w:rFonts w:hint="eastAsia" w:ascii="方正小标宋简体" w:hAnsi="Times New Roman" w:eastAsia="方正小标宋简体" w:cs="Times New Roman"/>
          <w:color w:val="000000" w:themeColor="text1"/>
          <w:sz w:val="44"/>
          <w:szCs w:val="44"/>
          <w:highlight w:val="none"/>
          <w14:textFill>
            <w14:solidFill>
              <w14:schemeClr w14:val="tx1"/>
            </w14:solidFill>
          </w14:textFill>
        </w:rPr>
        <w:t>自治区天然气管道运输价格管理办法</w:t>
      </w:r>
    </w:p>
    <w:bookmarkEnd w:id="0"/>
    <w:p w14:paraId="5427E61F">
      <w:pPr>
        <w:keepNext w:val="0"/>
        <w:keepLines w:val="0"/>
        <w:pageBreakBefore w:val="0"/>
        <w:widowControl w:val="0"/>
        <w:kinsoku w:val="0"/>
        <w:wordWrap/>
        <w:overflowPunct/>
        <w:topLinePunct/>
        <w:autoSpaceDE/>
        <w:autoSpaceDN/>
        <w:bidi w:val="0"/>
        <w:adjustRightInd/>
        <w:snapToGrid/>
        <w:spacing w:beforeLines="0" w:after="0" w:afterLines="0" w:line="550" w:lineRule="exact"/>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征求意见稿</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7C49B7CF">
      <w:pPr>
        <w:keepNext w:val="0"/>
        <w:keepLines w:val="0"/>
        <w:pageBreakBefore w:val="0"/>
        <w:widowControl w:val="0"/>
        <w:wordWrap/>
        <w:overflowPunct/>
        <w:topLinePunct/>
        <w:autoSpaceDE/>
        <w:autoSpaceDN/>
        <w:bidi w:val="0"/>
        <w:adjustRightInd/>
        <w:snapToGrid/>
        <w:spacing w:beforeLines="0" w:after="0" w:afterLines="0" w:line="550" w:lineRule="exact"/>
        <w:jc w:val="both"/>
        <w:textAlignment w:val="auto"/>
        <w:rPr>
          <w:rFonts w:ascii="方正小标宋简体" w:hAnsi="Times New Roman" w:eastAsia="方正小标宋简体" w:cs="Times New Roman"/>
          <w:color w:val="000000" w:themeColor="text1"/>
          <w:sz w:val="32"/>
          <w:szCs w:val="32"/>
          <w:highlight w:val="none"/>
          <w14:textFill>
            <w14:solidFill>
              <w14:schemeClr w14:val="tx1"/>
            </w14:solidFill>
          </w14:textFill>
        </w:rPr>
      </w:pPr>
    </w:p>
    <w:p w14:paraId="7B49AEF0">
      <w:pPr>
        <w:keepNext w:val="0"/>
        <w:keepLines w:val="0"/>
        <w:pageBreakBefore w:val="0"/>
        <w:widowControl w:val="0"/>
        <w:wordWrap/>
        <w:overflowPunct/>
        <w:topLinePunct/>
        <w:autoSpaceDE/>
        <w:autoSpaceDN/>
        <w:bidi w:val="0"/>
        <w:adjustRightInd/>
        <w:snapToGrid/>
        <w:spacing w:beforeLines="0" w:after="0" w:afterLines="0" w:line="550" w:lineRule="exact"/>
        <w:jc w:val="center"/>
        <w:textAlignment w:val="auto"/>
        <w:rPr>
          <w:rFonts w:hint="eastAsia" w:ascii="黑体" w:hAnsi="黑体" w:eastAsia="黑体" w:cs="Times New Roman"/>
          <w:color w:val="000000" w:themeColor="text1"/>
          <w:sz w:val="32"/>
          <w:szCs w:val="32"/>
          <w:highlight w:val="none"/>
          <w14:textFill>
            <w14:solidFill>
              <w14:schemeClr w14:val="tx1"/>
            </w14:solidFill>
          </w14:textFill>
        </w:rPr>
      </w:pPr>
      <w:r>
        <w:rPr>
          <w:rFonts w:ascii="黑体" w:hAnsi="黑体" w:eastAsia="黑体" w:cs="Times New Roman"/>
          <w:color w:val="000000" w:themeColor="text1"/>
          <w:sz w:val="32"/>
          <w:szCs w:val="32"/>
          <w:highlight w:val="none"/>
          <w14:textFill>
            <w14:solidFill>
              <w14:schemeClr w14:val="tx1"/>
            </w14:solidFill>
          </w14:textFill>
        </w:rPr>
        <w:t>第一章</w:t>
      </w:r>
      <w:r>
        <w:rPr>
          <w:rFonts w:hint="eastAsia" w:ascii="Calibri" w:hAnsi="Calibri" w:eastAsia="黑体" w:cs="Calibri"/>
          <w:color w:val="000000" w:themeColor="text1"/>
          <w:sz w:val="32"/>
          <w:szCs w:val="32"/>
          <w:highlight w:val="none"/>
          <w14:textFill>
            <w14:solidFill>
              <w14:schemeClr w14:val="tx1"/>
            </w14:solidFill>
          </w14:textFill>
        </w:rPr>
        <w:t xml:space="preserve">  </w:t>
      </w:r>
      <w:r>
        <w:rPr>
          <w:rFonts w:ascii="黑体" w:hAnsi="黑体" w:eastAsia="黑体" w:cs="Times New Roman"/>
          <w:color w:val="000000" w:themeColor="text1"/>
          <w:sz w:val="32"/>
          <w:szCs w:val="32"/>
          <w:highlight w:val="none"/>
          <w14:textFill>
            <w14:solidFill>
              <w14:schemeClr w14:val="tx1"/>
            </w14:solidFill>
          </w14:textFill>
        </w:rPr>
        <w:t>总</w:t>
      </w:r>
      <w:r>
        <w:rPr>
          <w:rFonts w:hint="eastAsia" w:ascii="黑体" w:hAnsi="黑体" w:eastAsia="黑体" w:cs="Times New Roman"/>
          <w:color w:val="000000" w:themeColor="text1"/>
          <w:sz w:val="32"/>
          <w:szCs w:val="32"/>
          <w:highlight w:val="none"/>
          <w14:textFill>
            <w14:solidFill>
              <w14:schemeClr w14:val="tx1"/>
            </w14:solidFill>
          </w14:textFill>
        </w:rPr>
        <w:t xml:space="preserve">  </w:t>
      </w:r>
      <w:r>
        <w:rPr>
          <w:rFonts w:ascii="黑体" w:hAnsi="黑体" w:eastAsia="黑体" w:cs="Times New Roman"/>
          <w:color w:val="000000" w:themeColor="text1"/>
          <w:sz w:val="32"/>
          <w:szCs w:val="32"/>
          <w:highlight w:val="none"/>
          <w14:textFill>
            <w14:solidFill>
              <w14:schemeClr w14:val="tx1"/>
            </w14:solidFill>
          </w14:textFill>
        </w:rPr>
        <w:t>则</w:t>
      </w:r>
    </w:p>
    <w:p w14:paraId="6D110386">
      <w:pPr>
        <w:keepNext w:val="0"/>
        <w:keepLines w:val="0"/>
        <w:pageBreakBefore w:val="0"/>
        <w:widowControl w:val="0"/>
        <w:kinsoku/>
        <w:wordWrap w:val="0"/>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第一条 为</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进一步加强我区</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天然气管道运输价格</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管理</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，提高定价科学性、规范性和透明度，</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推动</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天然气管道运输提升效率，促进天然气行业高质量发展，根据《中华人民共和国价格法》</w:t>
      </w:r>
      <w:r>
        <w:rPr>
          <w:rFonts w:hint="eastAsia" w:ascii="Times New Roman" w:hAnsi="Times New Roman" w:eastAsia="仿宋_GB2312" w:cs="Times New Roman"/>
          <w:color w:val="000000" w:themeColor="text1"/>
          <w:spacing w:val="0"/>
          <w:sz w:val="32"/>
          <w:szCs w:val="32"/>
          <w:highlight w:val="none"/>
          <w:u w:val="none"/>
          <w:lang w:eastAsia="zh"/>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《国家发展改革委 国家能源局关于完善省内天然气管道运输价格机制 促进行业高质量发展的指导意见》（发改价格〔2025〕1014号）</w:t>
      </w:r>
      <w:r>
        <w:rPr>
          <w:rFonts w:hint="eastAsia" w:ascii="Times New Roman" w:hAnsi="Times New Roman" w:eastAsia="仿宋_GB2312" w:cs="Times New Roman"/>
          <w:color w:val="000000" w:themeColor="text1"/>
          <w:spacing w:val="0"/>
          <w:sz w:val="32"/>
          <w:szCs w:val="32"/>
          <w:highlight w:val="none"/>
          <w:u w:val="none"/>
          <w:lang w:eastAsia="zh"/>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eastAsia" w:ascii="Times New Roman" w:hAnsi="Times New Roman" w:eastAsia="仿宋_GB2312" w:cs="Times New Roman"/>
          <w:color w:val="000000" w:themeColor="text1"/>
          <w:spacing w:val="0"/>
          <w:sz w:val="32"/>
          <w:szCs w:val="32"/>
          <w:highlight w:val="none"/>
          <w:u w:val="none"/>
          <w:lang w:eastAsia="zh"/>
          <w14:textFill>
            <w14:solidFill>
              <w14:schemeClr w14:val="tx1"/>
            </w14:solidFill>
          </w14:textFill>
        </w:rPr>
        <w:t>自治区人民政府关于公布新疆维吾尔自治区</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定价目录</w:t>
      </w:r>
      <w:r>
        <w:rPr>
          <w:rFonts w:hint="eastAsia" w:ascii="Times New Roman" w:hAnsi="Times New Roman" w:eastAsia="仿宋_GB2312" w:cs="Times New Roman"/>
          <w:color w:val="000000" w:themeColor="text1"/>
          <w:spacing w:val="0"/>
          <w:sz w:val="32"/>
          <w:szCs w:val="32"/>
          <w:highlight w:val="none"/>
          <w:u w:val="none"/>
          <w:lang w:eastAsia="zh"/>
          <w14:textFill>
            <w14:solidFill>
              <w14:schemeClr w14:val="tx1"/>
            </w14:solidFill>
          </w14:textFill>
        </w:rPr>
        <w:t>的通知</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》（新政发〔2023〕34号）等规定，结合自治区实际，制定本办法。</w:t>
      </w:r>
    </w:p>
    <w:p w14:paraId="497FDA8D">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第二条 本办法适用于</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自治区</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制定和调整区内天然气管道运输价格。</w:t>
      </w:r>
    </w:p>
    <w:p w14:paraId="534B5B13">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天然气管道是指经营天然气管道运输业务的企业（以下简称管道运输企业）运营的从上游接气点至下游用户的天然气输送管道，不包括油气田内部天然气集输管道和城镇燃气配气管网。管道运输价格是指管道运输企业通过管道向天然气用户提供管道运输服务的价格。</w:t>
      </w:r>
    </w:p>
    <w:p w14:paraId="49E9268A">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第三条</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管道运输价格实行政府指导价管理，由自治区价格主管部门核定和调整最高限价。</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管道运输价格由“一线一价”</w:t>
      </w:r>
      <w:r>
        <w:rPr>
          <w:rFonts w:hint="eastAsia" w:ascii="Times New Roman" w:hAnsi="Times New Roman" w:eastAsia="仿宋_GB2312" w:cs="Times New Roman"/>
          <w:color w:val="000000" w:themeColor="text1"/>
          <w:sz w:val="32"/>
          <w:szCs w:val="32"/>
          <w:highlight w:val="none"/>
          <w:u w:val="none"/>
          <w:lang w:eastAsia="zh"/>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“一企一价”向</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“全区统一价格”</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逐步</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过渡。</w:t>
      </w:r>
    </w:p>
    <w:p w14:paraId="632FCB0C">
      <w:pPr>
        <w:keepNext w:val="0"/>
        <w:keepLines w:val="0"/>
        <w:pageBreakBefore w:val="0"/>
        <w:widowControl w:val="0"/>
        <w:numPr>
          <w:ilvl w:val="0"/>
          <w:numId w:val="0"/>
        </w:numPr>
        <w:kinsoku/>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shd w:val="clear" w:color="auto" w:fill="FFFFFF"/>
          <w14:textFill>
            <w14:solidFill>
              <w14:schemeClr w14:val="tx1"/>
            </w14:solidFill>
          </w14:textFill>
        </w:rPr>
        <w:t xml:space="preserve">第四条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管道运输价格</w:t>
      </w:r>
      <w:r>
        <w:rPr>
          <w:rFonts w:hint="default" w:ascii="Times New Roman" w:hAnsi="Times New Roman" w:eastAsia="仿宋_GB2312" w:cs="Times New Roman"/>
          <w:sz w:val="32"/>
          <w:szCs w:val="32"/>
          <w:highlight w:val="none"/>
          <w:u w:val="none"/>
        </w:rPr>
        <w:t>在开展</w:t>
      </w:r>
      <w:r>
        <w:rPr>
          <w:rFonts w:hint="eastAsia" w:ascii="Times New Roman" w:hAnsi="Times New Roman" w:eastAsia="仿宋_GB2312" w:cs="Times New Roman"/>
          <w:sz w:val="32"/>
          <w:szCs w:val="32"/>
          <w:highlight w:val="none"/>
          <w:u w:val="none"/>
          <w:lang w:eastAsia="zh-CN"/>
        </w:rPr>
        <w:t>定价</w:t>
      </w:r>
      <w:r>
        <w:rPr>
          <w:rFonts w:hint="default" w:ascii="Times New Roman" w:hAnsi="Times New Roman" w:eastAsia="仿宋_GB2312" w:cs="Times New Roman"/>
          <w:sz w:val="32"/>
          <w:szCs w:val="32"/>
          <w:highlight w:val="none"/>
          <w:u w:val="none"/>
        </w:rPr>
        <w:t>成本监审的基础上，</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按照“准许成本加合理收益”的方法核定，即通过核定准许成本、</w:t>
      </w:r>
      <w:r>
        <w:rPr>
          <w:rFonts w:hint="default" w:ascii="Times New Roman" w:hAnsi="Times New Roman" w:eastAsia="仿宋_GB2312" w:cs="Times New Roman"/>
          <w:color w:val="auto"/>
          <w:sz w:val="32"/>
          <w:szCs w:val="32"/>
          <w:highlight w:val="none"/>
          <w:u w:val="none"/>
        </w:rPr>
        <w:t>监管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准许收益确定准许收入，考虑周转量确定管道运输价格。</w:t>
      </w:r>
    </w:p>
    <w:p w14:paraId="1F848CCB">
      <w:pPr>
        <w:keepNext w:val="0"/>
        <w:keepLines w:val="0"/>
        <w:pageBreakBefore w:val="0"/>
        <w:wordWrap/>
        <w:overflowPunct/>
        <w:autoSpaceDE/>
        <w:autoSpaceDN/>
        <w:bidi w:val="0"/>
        <w:adjustRightInd/>
        <w:snapToGrid/>
        <w:spacing w:beforeLines="0" w:after="0" w:afterLines="0" w:line="550" w:lineRule="exact"/>
        <w:jc w:val="center"/>
        <w:textAlignment w:val="auto"/>
        <w:rPr>
          <w:rFonts w:hint="eastAsia" w:ascii="黑体" w:hAnsi="黑体" w:eastAsia="黑体" w:cs="Times New Roman"/>
          <w:color w:val="000000" w:themeColor="text1"/>
          <w:sz w:val="32"/>
          <w:szCs w:val="32"/>
          <w:highlight w:val="none"/>
          <w:shd w:val="clear" w:color="auto" w:fill="FFFFFF"/>
          <w14:textFill>
            <w14:solidFill>
              <w14:schemeClr w14:val="tx1"/>
            </w14:solidFill>
          </w14:textFill>
        </w:rPr>
      </w:pPr>
      <w:r>
        <w:rPr>
          <w:rFonts w:hint="eastAsia" w:ascii="黑体" w:hAnsi="黑体" w:eastAsia="黑体" w:cs="Times New Roman"/>
          <w:color w:val="000000" w:themeColor="text1"/>
          <w:sz w:val="32"/>
          <w:szCs w:val="32"/>
          <w:highlight w:val="none"/>
          <w:shd w:val="clear" w:color="auto" w:fill="FFFFFF"/>
          <w14:textFill>
            <w14:solidFill>
              <w14:schemeClr w14:val="tx1"/>
            </w14:solidFill>
          </w14:textFill>
        </w:rPr>
        <w:t>第二章  价格制定和调整</w:t>
      </w:r>
    </w:p>
    <w:p w14:paraId="76B99C51">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shd w:val="clear" w:color="auto" w:fill="FFFFFF"/>
          <w14:textFill>
            <w14:solidFill>
              <w14:schemeClr w14:val="tx1"/>
            </w14:solidFill>
          </w14:textFill>
        </w:rPr>
        <w:t>第五条 管道运输价格管理原则上以管道运输企业法人单位为管理对象。同一母公司、实际控制人或受益所有人及其设立的子公司、分公司投资的不同管道，可以将母公司、实际控制人、受益所有人等作为管理对象，统一制定管道运输价格。管道运输企业应当将管道运输业务与其他业务分离</w:t>
      </w:r>
      <w:r>
        <w:rPr>
          <w:rFonts w:hint="eastAsia" w:ascii="Times New Roman" w:hAnsi="Times New Roman" w:eastAsia="仿宋_GB2312" w:cs="Times New Roman"/>
          <w:color w:val="000000" w:themeColor="text1"/>
          <w:sz w:val="32"/>
          <w:szCs w:val="32"/>
          <w:highlight w:val="none"/>
          <w:u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shd w:val="clear" w:color="auto" w:fill="FFFFFF"/>
          <w14:textFill>
            <w14:solidFill>
              <w14:schemeClr w14:val="tx1"/>
            </w14:solidFill>
          </w14:textFill>
        </w:rPr>
        <w:t>暂不能实现业务分离的，应当实现管道运输业务财务核算独立。</w:t>
      </w:r>
    </w:p>
    <w:p w14:paraId="7295319F">
      <w:pPr>
        <w:keepNext w:val="0"/>
        <w:keepLines w:val="0"/>
        <w:pageBreakBefore w:val="0"/>
        <w:wordWrap/>
        <w:overflow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第</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条 管道</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运输价格</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管道运价率</w:t>
      </w:r>
      <w:r>
        <w:rPr>
          <w:rFonts w:hint="default" w:ascii="Arial" w:hAnsi="Arial" w:eastAsia="仿宋_GB2312" w:cs="Arial"/>
          <w:color w:val="000000" w:themeColor="text1"/>
          <w:sz w:val="32"/>
          <w:szCs w:val="32"/>
          <w:highlight w:val="none"/>
          <w:u w:val="none"/>
          <w14:textFill>
            <w14:solidFill>
              <w14:schemeClr w14:val="tx1"/>
            </w14:solidFill>
          </w14:textFill>
        </w:rPr>
        <w:t>×</w:t>
      </w:r>
      <w:r>
        <w:rPr>
          <w:rFonts w:hint="eastAsia" w:ascii="Arial" w:hAnsi="Arial" w:eastAsia="仿宋_GB2312" w:cs="Arial"/>
          <w:color w:val="000000" w:themeColor="text1"/>
          <w:sz w:val="32"/>
          <w:szCs w:val="32"/>
          <w:highlight w:val="none"/>
          <w:u w:val="none"/>
          <w:lang w:eastAsia="zh-CN"/>
          <w14:textFill>
            <w14:solidFill>
              <w14:schemeClr w14:val="tx1"/>
            </w14:solidFill>
          </w14:textFill>
        </w:rPr>
        <w:t>管道实际</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运输距离</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14:paraId="0F965814">
      <w:pPr>
        <w:keepNext w:val="0"/>
        <w:keepLines w:val="0"/>
        <w:pageBreakBefore w:val="0"/>
        <w:wordWrap/>
        <w:overflowPunct/>
        <w:autoSpaceDE/>
        <w:autoSpaceDN/>
        <w:bidi w:val="0"/>
        <w:adjustRightInd/>
        <w:snapToGrid/>
        <w:spacing w:beforeLines="0" w:after="0" w:afterLines="0" w:line="55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管道运价率=管道运输企业准许收入÷</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监审期间最末一年</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总周转量。总周转量为</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核定</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管道运输企业拥有的所有天然气管道周转量之和。</w:t>
      </w:r>
    </w:p>
    <w:p w14:paraId="26AD2BB8">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u w:val="none"/>
          <w14:textFill>
            <w14:solidFill>
              <w14:schemeClr w14:val="tx1"/>
            </w14:solidFill>
          </w14:textFill>
        </w:rPr>
        <w:t>（一）准许收入=准许成本+准许收益+税金</w:t>
      </w:r>
    </w:p>
    <w:p w14:paraId="241A86B6">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shd w:val="clear" w:color="auto" w:fill="FFFFFF"/>
          <w14:textFill>
            <w14:solidFill>
              <w14:schemeClr w14:val="tx1"/>
            </w14:solidFill>
          </w14:textFill>
        </w:rPr>
        <w:t>1.准许成本。即定价成本，包括折旧及摊销费、运行维护费等</w:t>
      </w:r>
      <w:r>
        <w:rPr>
          <w:rFonts w:hint="eastAsia" w:ascii="Times New Roman" w:hAnsi="Times New Roman" w:eastAsia="仿宋_GB2312" w:cs="Times New Roman"/>
          <w:color w:val="000000" w:themeColor="text1"/>
          <w:sz w:val="32"/>
          <w:szCs w:val="32"/>
          <w:highlight w:val="none"/>
          <w:u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u w:val="none"/>
          <w:shd w:val="clear" w:color="auto" w:fill="FFFFFF"/>
          <w:lang w:eastAsia="zh"/>
          <w14:textFill>
            <w14:solidFill>
              <w14:schemeClr w14:val="tx1"/>
            </w14:solidFill>
          </w14:textFill>
        </w:rPr>
        <w:t>由</w:t>
      </w:r>
      <w:r>
        <w:rPr>
          <w:rFonts w:hint="eastAsia" w:ascii="Times New Roman" w:hAnsi="Times New Roman" w:eastAsia="仿宋_GB2312" w:cs="Times New Roman"/>
          <w:color w:val="000000" w:themeColor="text1"/>
          <w:sz w:val="32"/>
          <w:szCs w:val="32"/>
          <w:highlight w:val="none"/>
          <w:u w:val="none"/>
          <w:shd w:val="clear" w:color="auto" w:fill="FFFFFF"/>
          <w:lang w:eastAsia="zh-CN"/>
          <w14:textFill>
            <w14:solidFill>
              <w14:schemeClr w14:val="tx1"/>
            </w14:solidFill>
          </w14:textFill>
        </w:rPr>
        <w:t>成本监审核定。</w:t>
      </w:r>
    </w:p>
    <w:p w14:paraId="08841A76">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2.准许收益=有效资产×准许收益率。</w:t>
      </w:r>
    </w:p>
    <w:p w14:paraId="2EA4EBA4">
      <w:pPr>
        <w:keepNext w:val="0"/>
        <w:keepLines w:val="0"/>
        <w:pageBreakBefore w:val="0"/>
        <w:widowControl/>
        <w:suppressLineNumbers w:val="0"/>
        <w:wordWrap/>
        <w:overflowPunct/>
        <w:topLinePunct/>
        <w:autoSpaceDE/>
        <w:autoSpaceDN/>
        <w:bidi w:val="0"/>
        <w:adjustRightInd/>
        <w:snapToGrid/>
        <w:spacing w:before="0" w:beforeLines="0" w:beforeAutospacing="0" w:after="0" w:afterLines="0" w:afterAutospacing="0" w:line="550" w:lineRule="exact"/>
        <w:ind w:left="0" w:right="0"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（1）有效资产。有效资产指管道运输企业投资的、与管道运输业务相关的可计提收益的资产，包括固定资产净值</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（铺底天然气</w:t>
      </w:r>
      <w:r>
        <w:rPr>
          <w:rFonts w:hint="eastAsia" w:ascii="仿宋_GB2312" w:hAnsi="Times New Roman" w:eastAsia="仿宋_GB2312" w:cs="仿宋_GB2312"/>
          <w:kern w:val="2"/>
          <w:sz w:val="32"/>
          <w:szCs w:val="32"/>
          <w:lang w:val="en-US" w:eastAsia="zh-CN" w:bidi="ar"/>
        </w:rPr>
        <w:t>为原值</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无形资产净值和营运资本。有效资产不含政府无偿投入（投资补助、贷款贴息等）和社会无偿投入形成的固定资产和无形资产，固定资产评估增值的部分，储气库、液化天然气接收站资产，以及其他辅业、多种经营等资产。</w:t>
      </w:r>
    </w:p>
    <w:p w14:paraId="1B2C9BDF">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可计提收益的无形资产主要包括软件、土地使用权等。</w:t>
      </w:r>
    </w:p>
    <w:p w14:paraId="1A630A6E">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可计提收益的营运资本指管道运输企业为提供管道运输服务正常运营所需要的周转资金。</w:t>
      </w:r>
    </w:p>
    <w:p w14:paraId="7FEAB7BE">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固定资产净值和无形资产净值根据监审期间最末一年可计提折旧、可摊销计入定价成本的固定资产和无形资产原值所对应的账面净值，</w:t>
      </w:r>
      <w:r>
        <w:rPr>
          <w:rFonts w:hint="eastAsia" w:ascii="Times New Roman" w:hAnsi="Times New Roman" w:eastAsia="仿宋_GB2312" w:cs="Times New Roman"/>
          <w:color w:val="000000" w:themeColor="text1"/>
          <w:sz w:val="32"/>
          <w:szCs w:val="32"/>
          <w:highlight w:val="none"/>
          <w:u w:val="none"/>
          <w:lang w:eastAsia="zh"/>
          <w14:textFill>
            <w14:solidFill>
              <w14:schemeClr w14:val="tx1"/>
            </w14:solidFill>
          </w14:textFill>
        </w:rPr>
        <w:t>由</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成本监审核定</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。营运资本</w:t>
      </w:r>
      <w:r>
        <w:rPr>
          <w:rFonts w:hint="default" w:ascii="Times New Roman" w:hAnsi="Times New Roman" w:eastAsia="仿宋_GB2312" w:cs="Times New Roman"/>
          <w:color w:val="auto"/>
          <w:sz w:val="32"/>
          <w:szCs w:val="32"/>
          <w:highlight w:val="none"/>
          <w:u w:val="none"/>
        </w:rPr>
        <w:t>按运行维护费的20%确定</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w:t>
      </w:r>
    </w:p>
    <w:p w14:paraId="30E2774C">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（2）准许收益率。原则上不高于10年期国债收益率加4个百分点。</w:t>
      </w:r>
    </w:p>
    <w:p w14:paraId="73695618">
      <w:pPr>
        <w:keepNext w:val="0"/>
        <w:keepLines w:val="0"/>
        <w:pageBreakBefore w:val="0"/>
        <w:widowControl w:val="0"/>
        <w:kinsoku/>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3.税金依据现行国家相关税法规定核定，包括企业所得税、城市维护建设税、教育费附加等。</w:t>
      </w:r>
    </w:p>
    <w:p w14:paraId="4ADCB903">
      <w:pPr>
        <w:keepNext w:val="0"/>
        <w:keepLines w:val="0"/>
        <w:pageBreakBefore w:val="0"/>
        <w:wordWrap/>
        <w:overflowPunct/>
        <w:autoSpaceDE/>
        <w:autoSpaceDN/>
        <w:bidi w:val="0"/>
        <w:adjustRightInd/>
        <w:snapToGrid/>
        <w:spacing w:beforeLines="0" w:after="0" w:afterLines="0" w:line="550" w:lineRule="exact"/>
        <w:ind w:firstLine="640" w:firstLineChars="200"/>
        <w:jc w:val="both"/>
        <w:textAlignment w:val="auto"/>
        <w:rPr>
          <w:rFonts w:hint="eastAsia" w:ascii="楷体_GB2312" w:hAnsi="楷体_GB2312" w:eastAsia="楷体_GB2312" w:cs="楷体_GB2312"/>
          <w:color w:val="000000" w:themeColor="text1"/>
          <w:sz w:val="32"/>
          <w:szCs w:val="32"/>
          <w:highlight w:val="none"/>
          <w:u w:val="none"/>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highlight w:val="none"/>
          <w:u w:val="none"/>
          <w14:textFill>
            <w14:solidFill>
              <w14:schemeClr w14:val="tx1"/>
            </w14:solidFill>
          </w14:textFill>
        </w:rPr>
        <w:t>（二）</w:t>
      </w:r>
      <w:r>
        <w:rPr>
          <w:rFonts w:hint="eastAsia" w:ascii="楷体_GB2312" w:hAnsi="楷体_GB2312" w:eastAsia="楷体_GB2312" w:cs="楷体_GB2312"/>
          <w:color w:val="000000" w:themeColor="text1"/>
          <w:sz w:val="32"/>
          <w:szCs w:val="32"/>
          <w:highlight w:val="none"/>
          <w:u w:val="none"/>
          <w:shd w:val="clear" w:color="auto" w:fill="FFFFFF"/>
          <w14:textFill>
            <w14:solidFill>
              <w14:schemeClr w14:val="tx1"/>
            </w14:solidFill>
          </w14:textFill>
        </w:rPr>
        <w:t>管道周转量</w:t>
      </w:r>
    </w:p>
    <w:p w14:paraId="49B0E87D">
      <w:pPr>
        <w:keepNext w:val="0"/>
        <w:keepLines w:val="0"/>
        <w:pageBreakBefore w:val="0"/>
        <w:wordWrap/>
        <w:overflow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管道周转量=</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核定</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管道运输气量×</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管道实际</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运输距离。</w:t>
      </w:r>
    </w:p>
    <w:p w14:paraId="331B8100">
      <w:pPr>
        <w:keepNext w:val="0"/>
        <w:keepLines w:val="0"/>
        <w:pageBreakBefore w:val="0"/>
        <w:wordWrap/>
        <w:overflowPunct/>
        <w:autoSpaceDE/>
        <w:autoSpaceDN/>
        <w:bidi w:val="0"/>
        <w:adjustRightInd/>
        <w:snapToGrid/>
        <w:spacing w:beforeLines="0" w:after="0" w:afterLines="0" w:line="55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核定</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管道运输气量</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管道控制</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负荷率×</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管道项目核准批复的设计输气量。</w:t>
      </w:r>
    </w:p>
    <w:p w14:paraId="12D73124">
      <w:pPr>
        <w:keepNext w:val="0"/>
        <w:keepLines w:val="0"/>
        <w:pageBreakBefore w:val="0"/>
        <w:wordWrap/>
        <w:overflow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管道</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控制负荷率</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参照</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已投运的管道</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负荷率平均</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水平</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确定，</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高于控制负荷率的</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按实际执行。后续</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统筹考虑行业发展等情况</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逐步提高至</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50%</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w:t>
      </w:r>
    </w:p>
    <w:p w14:paraId="06EBCC23">
      <w:pPr>
        <w:keepNext w:val="0"/>
        <w:keepLines w:val="0"/>
        <w:pageBreakBefore w:val="0"/>
        <w:wordWrap/>
        <w:overflowPunct/>
        <w:autoSpaceDE/>
        <w:autoSpaceDN/>
        <w:bidi w:val="0"/>
        <w:adjustRightInd/>
        <w:snapToGrid/>
        <w:spacing w:beforeLines="0" w:after="0" w:afterLines="0" w:line="55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第</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条 </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2026年x月x日</w:t>
      </w:r>
      <w:r>
        <w:rPr>
          <w:rFonts w:hint="eastAsia" w:ascii="Times New Roman" w:hAnsi="Times New Roman" w:eastAsia="仿宋_GB2312" w:cs="Times New Roman"/>
          <w:color w:val="000000" w:themeColor="text1"/>
          <w:sz w:val="32"/>
          <w:szCs w:val="32"/>
          <w:highlight w:val="none"/>
          <w:u w:val="none"/>
          <w:lang w:val="en-US" w:eastAsia="zh"/>
          <w14:textFill>
            <w14:solidFill>
              <w14:schemeClr w14:val="tx1"/>
            </w14:solidFill>
          </w14:textFill>
        </w:rPr>
        <w:t>起新</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核准的</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天然气管道</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执行标杆运价率，标杆运价率</w:t>
      </w:r>
      <w:r>
        <w:rPr>
          <w:rFonts w:hint="eastAsia" w:ascii="Times New Roman" w:hAnsi="Times New Roman" w:eastAsia="仿宋_GB2312" w:cs="Times New Roman"/>
          <w:color w:val="000000" w:themeColor="text1"/>
          <w:sz w:val="32"/>
          <w:szCs w:val="32"/>
          <w:highlight w:val="none"/>
          <w:u w:val="none"/>
          <w:shd w:val="clear" w:color="auto" w:fill="FFFFFF"/>
          <w:lang w:eastAsia="zh-CN"/>
          <w14:textFill>
            <w14:solidFill>
              <w14:schemeClr w14:val="tx1"/>
            </w14:solidFill>
          </w14:textFill>
        </w:rPr>
        <w:t>根据全区管道平均运价率水平设置。</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2026年x月x日</w:t>
      </w:r>
      <w:r>
        <w:rPr>
          <w:rFonts w:hint="eastAsia" w:ascii="Times New Roman" w:hAnsi="Times New Roman" w:eastAsia="仿宋_GB2312" w:cs="Times New Roman"/>
          <w:color w:val="000000" w:themeColor="text1"/>
          <w:sz w:val="32"/>
          <w:szCs w:val="32"/>
          <w:highlight w:val="none"/>
          <w:u w:val="none"/>
          <w:lang w:val="en-US" w:eastAsia="zh"/>
          <w14:textFill>
            <w14:solidFill>
              <w14:schemeClr w14:val="tx1"/>
            </w14:solidFill>
          </w14:textFill>
        </w:rPr>
        <w:t>以</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前</w:t>
      </w:r>
      <w:r>
        <w:rPr>
          <w:rFonts w:hint="eastAsia" w:ascii="Times New Roman" w:hAnsi="Times New Roman" w:eastAsia="仿宋_GB2312" w:cs="Times New Roman"/>
          <w:color w:val="000000" w:themeColor="text1"/>
          <w:sz w:val="32"/>
          <w:szCs w:val="32"/>
          <w:highlight w:val="none"/>
          <w:u w:val="none"/>
          <w:shd w:val="clear" w:color="auto" w:fill="FFFFFF"/>
          <w:lang w:eastAsia="zh-CN"/>
          <w14:textFill>
            <w14:solidFill>
              <w14:schemeClr w14:val="tx1"/>
            </w14:solidFill>
          </w14:textFill>
        </w:rPr>
        <w:t>核准的</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天然气管道</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投运</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1个会计年度</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前</w:t>
      </w:r>
      <w:r>
        <w:rPr>
          <w:rFonts w:hint="eastAsia" w:ascii="Times New Roman" w:hAnsi="Times New Roman" w:eastAsia="仿宋_GB2312" w:cs="Times New Roman"/>
          <w:color w:val="000000" w:themeColor="text1"/>
          <w:sz w:val="32"/>
          <w:szCs w:val="32"/>
          <w:highlight w:val="none"/>
          <w:u w:val="none"/>
          <w:shd w:val="clear" w:color="auto" w:fill="FFFFFF"/>
          <w:lang w:eastAsia="zh-CN"/>
          <w14:textFill>
            <w14:solidFill>
              <w14:schemeClr w14:val="tx1"/>
            </w14:solidFill>
          </w14:textFill>
        </w:rPr>
        <w:t>，暂参照新核准天然气管道运价率执行，待满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1个会计年度</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后核定运输价格</w:t>
      </w:r>
      <w:r>
        <w:rPr>
          <w:rFonts w:hint="eastAsia" w:ascii="Times New Roman" w:hAnsi="Times New Roman" w:eastAsia="仿宋_GB2312" w:cs="Times New Roman"/>
          <w:color w:val="000000" w:themeColor="text1"/>
          <w:sz w:val="32"/>
          <w:szCs w:val="32"/>
          <w:highlight w:val="none"/>
          <w:u w:val="none"/>
          <w:shd w:val="clear" w:color="auto" w:fill="FFFFFF"/>
          <w:lang w:eastAsia="zh-CN"/>
          <w14:textFill>
            <w14:solidFill>
              <w14:schemeClr w14:val="tx1"/>
            </w14:solidFill>
          </w14:textFill>
        </w:rPr>
        <w:t>。</w:t>
      </w:r>
    </w:p>
    <w:p w14:paraId="7D0EF8DD">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第八条 管道运输价格实行动态管理，原则上每3年校核调整一次。</w:t>
      </w:r>
      <w:r>
        <w:rPr>
          <w:rFonts w:hint="eastAsia" w:ascii="仿宋_GB2312" w:eastAsia="仿宋_GB2312"/>
          <w:sz w:val="32"/>
          <w:szCs w:val="32"/>
          <w:highlight w:val="none"/>
        </w:rPr>
        <w:t>监管周期内相关资产、成本、输气量等发生重大变化的，可提前校核</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w:t>
      </w:r>
    </w:p>
    <w:p w14:paraId="381E7D25">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第九条 自治区价格主管部门测算的准许收入和运价率较上一监管周期变动幅度较大时，可以在不同监管周期平滑处理。监管周期内遇有国家重大政策调整、不可抗力等因素造成重大变化的情况，可以对准许收入和运价率作适当调整。</w:t>
      </w:r>
    </w:p>
    <w:p w14:paraId="399BBFF8">
      <w:pPr>
        <w:keepNext w:val="0"/>
        <w:keepLines w:val="0"/>
        <w:pageBreakBefore w:val="0"/>
        <w:widowControl w:val="0"/>
        <w:wordWrap/>
        <w:overflowPunct/>
        <w:topLinePunct/>
        <w:autoSpaceDE/>
        <w:autoSpaceDN/>
        <w:bidi w:val="0"/>
        <w:adjustRightInd/>
        <w:snapToGrid/>
        <w:spacing w:beforeLines="0" w:after="0" w:afterLines="0" w:line="550" w:lineRule="exact"/>
        <w:jc w:val="center"/>
        <w:textAlignment w:val="auto"/>
        <w:rPr>
          <w:rFonts w:hint="eastAsia" w:ascii="黑体" w:hAnsi="黑体" w:eastAsia="黑体" w:cs="Times New Roman"/>
          <w:color w:val="000000" w:themeColor="text1"/>
          <w:sz w:val="32"/>
          <w:szCs w:val="32"/>
          <w:highlight w:val="none"/>
          <w14:textFill>
            <w14:solidFill>
              <w14:schemeClr w14:val="tx1"/>
            </w14:solidFill>
          </w14:textFill>
        </w:rPr>
      </w:pPr>
      <w:r>
        <w:rPr>
          <w:rFonts w:ascii="黑体" w:hAnsi="黑体" w:eastAsia="黑体" w:cs="Times New Roman"/>
          <w:color w:val="000000" w:themeColor="text1"/>
          <w:sz w:val="32"/>
          <w:szCs w:val="32"/>
          <w:highlight w:val="none"/>
          <w14:textFill>
            <w14:solidFill>
              <w14:schemeClr w14:val="tx1"/>
            </w14:solidFill>
          </w14:textFill>
        </w:rPr>
        <w:t>第三章</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 xml:space="preserve"> </w:t>
      </w:r>
      <w:r>
        <w:rPr>
          <w:rFonts w:ascii="黑体" w:hAnsi="黑体" w:eastAsia="黑体" w:cs="Times New Roman"/>
          <w:color w:val="000000" w:themeColor="text1"/>
          <w:sz w:val="32"/>
          <w:szCs w:val="32"/>
          <w:highlight w:val="none"/>
          <w14:textFill>
            <w14:solidFill>
              <w14:schemeClr w14:val="tx1"/>
            </w14:solidFill>
          </w14:textFill>
        </w:rPr>
        <w:t xml:space="preserve"> </w:t>
      </w:r>
      <w:r>
        <w:rPr>
          <w:rFonts w:hint="eastAsia" w:ascii="黑体" w:hAnsi="黑体" w:eastAsia="黑体" w:cs="Times New Roman"/>
          <w:color w:val="000000" w:themeColor="text1"/>
          <w:sz w:val="32"/>
          <w:szCs w:val="32"/>
          <w:highlight w:val="none"/>
          <w:lang w:eastAsia="zh-CN"/>
          <w14:textFill>
            <w14:solidFill>
              <w14:schemeClr w14:val="tx1"/>
            </w14:solidFill>
          </w14:textFill>
        </w:rPr>
        <w:t>定调价程序和</w:t>
      </w:r>
      <w:r>
        <w:rPr>
          <w:rFonts w:ascii="黑体" w:hAnsi="黑体" w:eastAsia="黑体" w:cs="Times New Roman"/>
          <w:color w:val="000000" w:themeColor="text1"/>
          <w:sz w:val="32"/>
          <w:szCs w:val="32"/>
          <w:highlight w:val="none"/>
          <w14:textFill>
            <w14:solidFill>
              <w14:schemeClr w14:val="tx1"/>
            </w14:solidFill>
          </w14:textFill>
        </w:rPr>
        <w:t>信息公开</w:t>
      </w:r>
    </w:p>
    <w:p w14:paraId="0B2776AE">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第十条</w:t>
      </w:r>
      <w:r>
        <w:rPr>
          <w:rFonts w:hint="eastAsia" w:ascii="Times New Roman" w:hAnsi="Times New Roman" w:eastAsia="仿宋_GB2312" w:cs="Times New Roman"/>
          <w:color w:val="000000" w:themeColor="text1"/>
          <w:sz w:val="32"/>
          <w:szCs w:val="32"/>
          <w:highlight w:val="none"/>
          <w:u w:val="none"/>
          <w:lang w:eastAsia="zh"/>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管道运输企业</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经营的天然气管道投运后，制定和调整管道运输价格，</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应当通过所在地（州、市）价格主管部门提出申请，也可由</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自治区</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价格主管部门主动实施。</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首次申请核定管道运输价格的企业，需提供项目核准、项目可行性研究报告等相关支撑性文件材料，项目核准文件应包含管道投资、设计输送能力、起止地点、长度等基本内容</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w:t>
      </w:r>
    </w:p>
    <w:p w14:paraId="033E0EC3">
      <w:pPr>
        <w:pStyle w:val="15"/>
        <w:keepNext w:val="0"/>
        <w:keepLines w:val="0"/>
        <w:pageBreakBefore w:val="0"/>
        <w:wordWrap/>
        <w:overflowPunct/>
        <w:autoSpaceDE/>
        <w:autoSpaceDN/>
        <w:bidi w:val="0"/>
        <w:adjustRightInd/>
        <w:snapToGrid/>
        <w:spacing w:before="0" w:beforeLines="0" w:beforeAutospacing="0" w:after="0" w:afterLines="0" w:afterAutospacing="0"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第十</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条</w:t>
      </w:r>
      <w:r>
        <w:rPr>
          <w:rFonts w:hint="eastAsia" w:ascii="Times New Roman" w:hAnsi="Times New Roman" w:eastAsia="仿宋_GB2312" w:cs="Times New Roman"/>
          <w:color w:val="000000" w:themeColor="text1"/>
          <w:sz w:val="32"/>
          <w:szCs w:val="32"/>
          <w:highlight w:val="none"/>
          <w:u w:val="none"/>
          <w:lang w:eastAsia="zh"/>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管道运输企业须按照价格主管部门要求，报送制定调整价格所需的收入、成本、项目核准等材料。应通过企业门户网站或指定平台向社会公开所有管道入口和出口名称、距离、具体价格水平</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上一年度</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管道运输</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收入、成本等相关信息。</w:t>
      </w:r>
    </w:p>
    <w:p w14:paraId="1B4F7BBE">
      <w:pPr>
        <w:pStyle w:val="15"/>
        <w:keepNext w:val="0"/>
        <w:keepLines w:val="0"/>
        <w:pageBreakBefore w:val="0"/>
        <w:wordWrap/>
        <w:overflowPunct/>
        <w:autoSpaceDE/>
        <w:autoSpaceDN/>
        <w:bidi w:val="0"/>
        <w:adjustRightInd/>
        <w:snapToGrid/>
        <w:spacing w:before="0" w:beforeLines="0" w:beforeAutospacing="0" w:after="0" w:afterLines="0" w:afterAutospacing="0"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第十二条</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管道运输企业应保证信息和材料真实、准确，对拒不配合、故意瞒报、虚报等情形，视情采取降低准许收益率、从低核定成本等措施进行处理。</w:t>
      </w:r>
      <w:r>
        <w:rPr>
          <w:rFonts w:hint="eastAsia" w:ascii="仿宋_GB2312" w:hAnsi="仿宋_GB2312" w:eastAsia="仿宋_GB2312" w:cs="仿宋_GB2312"/>
          <w:color w:val="000000" w:themeColor="text1"/>
          <w:sz w:val="32"/>
          <w:szCs w:val="32"/>
          <w:highlight w:val="none"/>
          <w:u w:val="none"/>
          <w:shd w:val="clear" w:color="auto" w:fill="FFFFFF"/>
          <w14:textFill>
            <w14:solidFill>
              <w14:schemeClr w14:val="tx1"/>
            </w14:solidFill>
          </w14:textFill>
        </w:rPr>
        <w:t>因故意瞒报、虚报相关信息并获得不当收益的，在后续调整价格时进行追溯。</w:t>
      </w:r>
    </w:p>
    <w:p w14:paraId="54E35085">
      <w:pPr>
        <w:keepNext w:val="0"/>
        <w:keepLines w:val="0"/>
        <w:pageBreakBefore w:val="0"/>
        <w:widowControl w:val="0"/>
        <w:wordWrap/>
        <w:overflowPunct/>
        <w:topLinePunct/>
        <w:autoSpaceDE/>
        <w:autoSpaceDN/>
        <w:bidi w:val="0"/>
        <w:adjustRightInd/>
        <w:snapToGrid/>
        <w:spacing w:beforeLines="0" w:after="0" w:afterLines="0" w:line="550" w:lineRule="exact"/>
        <w:jc w:val="center"/>
        <w:textAlignment w:val="auto"/>
        <w:rPr>
          <w:rFonts w:hint="eastAsia" w:ascii="黑体" w:hAnsi="黑体" w:eastAsia="黑体" w:cs="Times New Roman"/>
          <w:color w:val="000000" w:themeColor="text1"/>
          <w:sz w:val="32"/>
          <w:szCs w:val="32"/>
          <w:highlight w:val="none"/>
          <w:u w:val="none"/>
          <w14:textFill>
            <w14:solidFill>
              <w14:schemeClr w14:val="tx1"/>
            </w14:solidFill>
          </w14:textFill>
        </w:rPr>
      </w:pPr>
      <w:r>
        <w:rPr>
          <w:rFonts w:hint="eastAsia" w:ascii="黑体" w:hAnsi="黑体" w:eastAsia="黑体" w:cs="Times New Roman"/>
          <w:color w:val="000000" w:themeColor="text1"/>
          <w:sz w:val="32"/>
          <w:szCs w:val="32"/>
          <w:highlight w:val="none"/>
          <w:u w:val="none"/>
          <w14:textFill>
            <w14:solidFill>
              <w14:schemeClr w14:val="tx1"/>
            </w14:solidFill>
          </w14:textFill>
        </w:rPr>
        <w:t>第四章</w:t>
      </w:r>
      <w:r>
        <w:rPr>
          <w:rFonts w:hint="eastAsia" w:ascii="黑体" w:hAnsi="黑体" w:eastAsia="黑体" w:cs="Times New Roman"/>
          <w:color w:val="000000" w:themeColor="text1"/>
          <w:sz w:val="32"/>
          <w:szCs w:val="32"/>
          <w:highlight w:val="none"/>
          <w:u w:val="none"/>
          <w:lang w:val="en-US" w:eastAsia="zh-CN"/>
          <w14:textFill>
            <w14:solidFill>
              <w14:schemeClr w14:val="tx1"/>
            </w14:solidFill>
          </w14:textFill>
        </w:rPr>
        <w:t xml:space="preserve"> </w:t>
      </w:r>
      <w:r>
        <w:rPr>
          <w:rFonts w:hint="eastAsia" w:ascii="黑体" w:hAnsi="黑体" w:eastAsia="黑体" w:cs="Times New Roman"/>
          <w:color w:val="000000" w:themeColor="text1"/>
          <w:sz w:val="32"/>
          <w:szCs w:val="32"/>
          <w:highlight w:val="none"/>
          <w:u w:val="none"/>
          <w14:textFill>
            <w14:solidFill>
              <w14:schemeClr w14:val="tx1"/>
            </w14:solidFill>
          </w14:textFill>
        </w:rPr>
        <w:t xml:space="preserve"> </w:t>
      </w:r>
      <w:r>
        <w:rPr>
          <w:rFonts w:hint="eastAsia" w:ascii="黑体" w:hAnsi="黑体" w:eastAsia="黑体" w:cs="Times New Roman"/>
          <w:color w:val="000000" w:themeColor="text1"/>
          <w:sz w:val="32"/>
          <w:szCs w:val="32"/>
          <w:highlight w:val="none"/>
          <w:u w:val="none"/>
          <w:lang w:eastAsia="zh-CN"/>
          <w14:textFill>
            <w14:solidFill>
              <w14:schemeClr w14:val="tx1"/>
            </w14:solidFill>
          </w14:textFill>
        </w:rPr>
        <w:t>约束</w:t>
      </w:r>
      <w:r>
        <w:rPr>
          <w:rFonts w:hint="eastAsia" w:ascii="黑体" w:hAnsi="黑体" w:eastAsia="黑体" w:cs="Times New Roman"/>
          <w:color w:val="000000" w:themeColor="text1"/>
          <w:sz w:val="32"/>
          <w:szCs w:val="32"/>
          <w:highlight w:val="none"/>
          <w:u w:val="none"/>
          <w14:textFill>
            <w14:solidFill>
              <w14:schemeClr w14:val="tx1"/>
            </w14:solidFill>
          </w14:textFill>
        </w:rPr>
        <w:t>机制</w:t>
      </w:r>
    </w:p>
    <w:p w14:paraId="0781ED14">
      <w:pPr>
        <w:pStyle w:val="15"/>
        <w:keepNext w:val="0"/>
        <w:keepLines w:val="0"/>
        <w:pageBreakBefore w:val="0"/>
        <w:wordWrap/>
        <w:overflowPunct/>
        <w:autoSpaceDE/>
        <w:autoSpaceDN/>
        <w:bidi w:val="0"/>
        <w:adjustRightInd/>
        <w:snapToGrid/>
        <w:spacing w:before="0" w:beforeLines="0" w:beforeAutospacing="0" w:after="0" w:afterLines="0" w:afterAutospacing="0"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shd w:val="clear" w:color="auto" w:fill="FFFFFF"/>
          <w14:textFill>
            <w14:solidFill>
              <w14:schemeClr w14:val="tx1"/>
            </w14:solidFill>
          </w14:textFill>
        </w:rPr>
        <w:t>第十</w:t>
      </w:r>
      <w:r>
        <w:rPr>
          <w:rFonts w:hint="eastAsia" w:ascii="仿宋_GB2312" w:hAnsi="仿宋_GB2312" w:eastAsia="仿宋_GB2312" w:cs="仿宋_GB2312"/>
          <w:color w:val="000000" w:themeColor="text1"/>
          <w:sz w:val="32"/>
          <w:szCs w:val="32"/>
          <w:highlight w:val="none"/>
          <w:u w:val="none"/>
          <w:shd w:val="clear" w:color="auto" w:fill="FFFFFF"/>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u w:val="none"/>
          <w:shd w:val="clear" w:color="auto" w:fill="FFFFFF"/>
          <w14:textFill>
            <w14:solidFill>
              <w14:schemeClr w14:val="tx1"/>
            </w14:solidFill>
          </w14:textFill>
        </w:rPr>
        <w:t>条 管道运输企业应当与用户签订管道运输合同。管道运输企业无正当理由不得拖延、拒绝与符合开放条件的用户签订服务合同，不得提出不合理要求。</w:t>
      </w:r>
    </w:p>
    <w:p w14:paraId="1C780F95">
      <w:pPr>
        <w:pStyle w:val="15"/>
        <w:keepNext w:val="0"/>
        <w:keepLines w:val="0"/>
        <w:pageBreakBefore w:val="0"/>
        <w:wordWrap/>
        <w:overflowPunct/>
        <w:autoSpaceDE/>
        <w:autoSpaceDN/>
        <w:bidi w:val="0"/>
        <w:adjustRightInd/>
        <w:snapToGrid/>
        <w:spacing w:before="0" w:beforeLines="0" w:beforeAutospacing="0" w:after="0" w:afterLines="0" w:afterAutospacing="0"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shd w:val="clear" w:color="auto" w:fill="FFFFFF"/>
          <w14:textFill>
            <w14:solidFill>
              <w14:schemeClr w14:val="tx1"/>
            </w14:solidFill>
          </w14:textFill>
        </w:rPr>
        <w:t>管道运输企业未落实油气管网设施公平开放监管制度且不按监管部门要求及时整改的，从低核定准许收益率。</w:t>
      </w:r>
    </w:p>
    <w:p w14:paraId="37E2EED8">
      <w:pPr>
        <w:pStyle w:val="15"/>
        <w:keepNext w:val="0"/>
        <w:keepLines w:val="0"/>
        <w:pageBreakBefore w:val="0"/>
        <w:wordWrap/>
        <w:overflowPunct/>
        <w:autoSpaceDE/>
        <w:autoSpaceDN/>
        <w:bidi w:val="0"/>
        <w:adjustRightInd/>
        <w:snapToGrid/>
        <w:spacing w:before="0" w:beforeLines="0" w:beforeAutospacing="0" w:after="0" w:afterLines="0" w:afterAutospacing="0"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shd w:val="clear" w:color="auto" w:fill="FFFFFF"/>
          <w14:textFill>
            <w14:solidFill>
              <w14:schemeClr w14:val="tx1"/>
            </w14:solidFill>
          </w14:textFill>
        </w:rPr>
        <w:t>第十</w:t>
      </w:r>
      <w:r>
        <w:rPr>
          <w:rFonts w:hint="eastAsia" w:ascii="仿宋_GB2312" w:hAnsi="仿宋_GB2312" w:eastAsia="仿宋_GB2312" w:cs="仿宋_GB2312"/>
          <w:color w:val="000000" w:themeColor="text1"/>
          <w:sz w:val="32"/>
          <w:szCs w:val="32"/>
          <w:highlight w:val="none"/>
          <w:u w:val="none"/>
          <w:shd w:val="clear" w:color="auto" w:fill="FFFFFF"/>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u w:val="none"/>
          <w:shd w:val="clear" w:color="auto" w:fill="FFFFFF"/>
          <w14:textFill>
            <w14:solidFill>
              <w14:schemeClr w14:val="tx1"/>
            </w14:solidFill>
          </w14:textFill>
        </w:rPr>
        <w:t>条 管道运输企业应建立健全内部关联方交易管理制度，按照社会公允水平确定内部关联方交易费用项目价格，书面向价格主管部门报告内部关联方交易事项的相关情况，包括内部关联方交易对象、定价方法、交易价格和金额，以及与关联方的关系等，说明关联交易的合理性及其理由。</w:t>
      </w:r>
    </w:p>
    <w:p w14:paraId="204F4F28">
      <w:pPr>
        <w:pStyle w:val="15"/>
        <w:keepNext w:val="0"/>
        <w:keepLines w:val="0"/>
        <w:pageBreakBefore w:val="0"/>
        <w:wordWrap/>
        <w:overflowPunct/>
        <w:autoSpaceDE/>
        <w:autoSpaceDN/>
        <w:bidi w:val="0"/>
        <w:adjustRightInd/>
        <w:snapToGrid/>
        <w:spacing w:before="0" w:beforeLines="0" w:beforeAutospacing="0" w:after="0" w:afterLines="0" w:afterAutospacing="0"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shd w:val="clear" w:color="auto" w:fill="FFFFFF"/>
          <w14:textFill>
            <w14:solidFill>
              <w14:schemeClr w14:val="tx1"/>
            </w14:solidFill>
          </w14:textFill>
        </w:rPr>
        <w:t>内部关联方交易，是指管道运输企业与关联方之间转移、交易、租赁、运维资产等所发生的各类行为以及提供劳务的行为。</w:t>
      </w:r>
    </w:p>
    <w:p w14:paraId="116255DA">
      <w:pPr>
        <w:keepNext w:val="0"/>
        <w:keepLines w:val="0"/>
        <w:pageBreakBefore w:val="0"/>
        <w:widowControl w:val="0"/>
        <w:wordWrap/>
        <w:overflowPunct/>
        <w:topLinePunct/>
        <w:autoSpaceDE/>
        <w:autoSpaceDN/>
        <w:bidi w:val="0"/>
        <w:adjustRightInd/>
        <w:snapToGrid/>
        <w:spacing w:beforeLines="0" w:after="0" w:afterLines="0" w:line="550" w:lineRule="exact"/>
        <w:jc w:val="center"/>
        <w:textAlignment w:val="auto"/>
        <w:rPr>
          <w:rFonts w:hint="eastAsia" w:ascii="黑体" w:hAnsi="黑体" w:eastAsia="黑体" w:cs="Times New Roman"/>
          <w:color w:val="000000" w:themeColor="text1"/>
          <w:sz w:val="32"/>
          <w:szCs w:val="32"/>
          <w:highlight w:val="none"/>
          <w14:textFill>
            <w14:solidFill>
              <w14:schemeClr w14:val="tx1"/>
            </w14:solidFill>
          </w14:textFill>
        </w:rPr>
      </w:pPr>
      <w:r>
        <w:rPr>
          <w:rFonts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14:textFill>
            <w14:solidFill>
              <w14:schemeClr w14:val="tx1"/>
            </w14:solidFill>
          </w14:textFill>
        </w:rPr>
        <w:t>五</w:t>
      </w:r>
      <w:r>
        <w:rPr>
          <w:rFonts w:ascii="黑体" w:hAnsi="黑体" w:eastAsia="黑体" w:cs="Times New Roman"/>
          <w:color w:val="000000" w:themeColor="text1"/>
          <w:sz w:val="32"/>
          <w:szCs w:val="32"/>
          <w:highlight w:val="none"/>
          <w14:textFill>
            <w14:solidFill>
              <w14:schemeClr w14:val="tx1"/>
            </w14:solidFill>
          </w14:textFill>
        </w:rPr>
        <w:t xml:space="preserve">章 </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 xml:space="preserve"> </w:t>
      </w:r>
      <w:r>
        <w:rPr>
          <w:rFonts w:ascii="黑体" w:hAnsi="黑体" w:eastAsia="黑体" w:cs="Times New Roman"/>
          <w:color w:val="000000" w:themeColor="text1"/>
          <w:sz w:val="32"/>
          <w:szCs w:val="32"/>
          <w:highlight w:val="none"/>
          <w14:textFill>
            <w14:solidFill>
              <w14:schemeClr w14:val="tx1"/>
            </w14:solidFill>
          </w14:textFill>
        </w:rPr>
        <w:t>附</w:t>
      </w:r>
      <w:r>
        <w:rPr>
          <w:rFonts w:hint="eastAsia" w:ascii="黑体" w:hAnsi="黑体" w:eastAsia="黑体" w:cs="Times New Roman"/>
          <w:color w:val="000000" w:themeColor="text1"/>
          <w:sz w:val="32"/>
          <w:szCs w:val="32"/>
          <w:highlight w:val="none"/>
          <w14:textFill>
            <w14:solidFill>
              <w14:schemeClr w14:val="tx1"/>
            </w14:solidFill>
          </w14:textFill>
        </w:rPr>
        <w:t xml:space="preserve">  </w:t>
      </w:r>
      <w:r>
        <w:rPr>
          <w:rFonts w:ascii="黑体" w:hAnsi="黑体" w:eastAsia="黑体" w:cs="Times New Roman"/>
          <w:color w:val="000000" w:themeColor="text1"/>
          <w:sz w:val="32"/>
          <w:szCs w:val="32"/>
          <w:highlight w:val="none"/>
          <w14:textFill>
            <w14:solidFill>
              <w14:schemeClr w14:val="tx1"/>
            </w14:solidFill>
          </w14:textFill>
        </w:rPr>
        <w:t>则</w:t>
      </w:r>
    </w:p>
    <w:p w14:paraId="35DFBC5D">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第十</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highlight w:val="none"/>
          <w:u w:val="none"/>
          <w:shd w:val="clear" w:color="auto" w:fill="FFFFFF"/>
          <w14:textFill>
            <w14:solidFill>
              <w14:schemeClr w14:val="tx1"/>
            </w14:solidFill>
          </w14:textFill>
        </w:rPr>
        <w:t>输送其他介质的管道，运输价格参照本办法制定。</w:t>
      </w:r>
    </w:p>
    <w:p w14:paraId="0993319E">
      <w:pPr>
        <w:keepNext w:val="0"/>
        <w:keepLines w:val="0"/>
        <w:pageBreakBefore w:val="0"/>
        <w:widowControl w:val="0"/>
        <w:suppressLineNumbers w:val="0"/>
        <w:wordWrap/>
        <w:overflowPunct/>
        <w:topLinePunct/>
        <w:autoSpaceDE/>
        <w:autoSpaceDN/>
        <w:bidi w:val="0"/>
        <w:adjustRightInd/>
        <w:snapToGrid/>
        <w:spacing w:before="0" w:beforeLines="0" w:beforeAutospacing="0" w:after="0" w:afterLines="0" w:afterAutospacing="0" w:line="550" w:lineRule="exact"/>
        <w:ind w:left="0" w:right="0" w:firstLine="640" w:firstLineChars="200"/>
        <w:jc w:val="both"/>
        <w:textAlignment w:val="auto"/>
        <w:rPr>
          <w:rFonts w:hint="eastAsia" w:ascii="Times New Roman" w:hAnsi="Times New Roman" w:eastAsia="仿宋_GB2312" w:cs="Times New Roman"/>
          <w:color w:val="000000" w:themeColor="text1"/>
          <w:sz w:val="32"/>
          <w:szCs w:val="32"/>
          <w:highlight w:val="none"/>
          <w:u w:val="none"/>
          <w:lang w:eastAsia="zh"/>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shd w:val="clear" w:color="auto" w:fill="FFFFFF"/>
          <w14:textFill>
            <w14:solidFill>
              <w14:schemeClr w14:val="tx1"/>
            </w14:solidFill>
          </w14:textFill>
        </w:rPr>
        <w:t>第十</w:t>
      </w:r>
      <w:r>
        <w:rPr>
          <w:rFonts w:hint="eastAsia" w:ascii="Times New Roman" w:hAnsi="Times New Roman" w:eastAsia="仿宋_GB2312" w:cs="Times New Roman"/>
          <w:color w:val="000000" w:themeColor="text1"/>
          <w:sz w:val="32"/>
          <w:szCs w:val="32"/>
          <w:highlight w:val="none"/>
          <w:u w:val="none"/>
          <w:shd w:val="clear" w:color="auto" w:fill="FFFFFF"/>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u w:val="none"/>
          <w:shd w:val="clear" w:color="auto" w:fill="FFFFFF"/>
          <w14:textFill>
            <w14:solidFill>
              <w14:schemeClr w14:val="tx1"/>
            </w14:solidFill>
          </w14:textFill>
        </w:rPr>
        <w:t>条 自治区价格主管部门可以根据行业发展实际情况，适时对有关定价参数进行调整。</w:t>
      </w:r>
    </w:p>
    <w:p w14:paraId="3139879F">
      <w:pPr>
        <w:keepNext w:val="0"/>
        <w:keepLines w:val="0"/>
        <w:pageBreakBefore w:val="0"/>
        <w:widowControl w:val="0"/>
        <w:wordWrap/>
        <w:overflowPunct/>
        <w:topLinePunct/>
        <w:autoSpaceDE/>
        <w:autoSpaceDN/>
        <w:bidi w:val="0"/>
        <w:adjustRightInd/>
        <w:snapToGrid/>
        <w:spacing w:beforeLines="0" w:after="0" w:afterLines="0" w:line="55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第十</w:t>
      </w:r>
      <w:r>
        <w:rPr>
          <w:rFonts w:hint="eastAsia" w:ascii="Times New Roman" w:hAnsi="Times New Roman" w:eastAsia="仿宋_GB2312" w:cs="Times New Roman"/>
          <w:color w:val="000000" w:themeColor="text1"/>
          <w:sz w:val="32"/>
          <w:szCs w:val="32"/>
          <w:highlight w:val="none"/>
          <w:u w:val="none"/>
          <w:lang w:eastAsia="zh"/>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条 本办法自202</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u w:val="none"/>
          <w:lang w:eastAsia="zh"/>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日起实施，</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有效期</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5年，期间</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如</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遇</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国家出台新的规定，按国家规定执行。</w:t>
      </w:r>
    </w:p>
    <w:sectPr>
      <w:headerReference r:id="rId6" w:type="first"/>
      <w:footerReference r:id="rId9" w:type="first"/>
      <w:footerReference r:id="rId7" w:type="default"/>
      <w:headerReference r:id="rId5" w:type="even"/>
      <w:footerReference r:id="rId8" w:type="even"/>
      <w:pgSz w:w="11906" w:h="16838"/>
      <w:pgMar w:top="1928" w:right="1531" w:bottom="1701" w:left="1531" w:header="851" w:footer="992" w:gutter="0"/>
      <w:pgNumType w:fmt="numberInDash" w:chapSep="em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995A9">
    <w:pPr>
      <w:pStyle w:val="12"/>
      <w:jc w:val="center"/>
      <w:rPr>
        <w:rFonts w:hint="eastAsia" w:ascii="宋体" w:hAnsi="宋体" w:eastAsia="宋体"/>
        <w:sz w:val="28"/>
        <w:szCs w:val="28"/>
      </w:rPr>
    </w:pPr>
    <w:bookmarkStart w:id="1" w:name="_GoBack"/>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EndPr>
                            <w:rPr>
                              <w:rFonts w:ascii="宋体" w:hAnsi="宋体" w:eastAsia="宋体"/>
                              <w:sz w:val="28"/>
                              <w:szCs w:val="28"/>
                            </w:rPr>
                          </w:sdtEndPr>
                          <w:sdtContent>
                            <w:p w14:paraId="77AFE577">
                              <w:pPr>
                                <w:pStyle w:val="1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
                      <w:docPartObj>
                        <w:docPartGallery w:val="autotext"/>
                      </w:docPartObj>
                    </w:sdtPr>
                    <w:sdtEndPr>
                      <w:rPr>
                        <w:rFonts w:ascii="宋体" w:hAnsi="宋体" w:eastAsia="宋体"/>
                        <w:sz w:val="28"/>
                        <w:szCs w:val="28"/>
                      </w:rPr>
                    </w:sdtEndPr>
                    <w:sdtContent>
                      <w:p w14:paraId="77AFE577">
                        <w:pPr>
                          <w:pStyle w:val="1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txbxContent>
              </v:textbox>
            </v:shape>
          </w:pict>
        </mc:Fallback>
      </mc:AlternateContent>
    </w:r>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45F90">
    <w:pPr>
      <w:pStyle w:val="1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B5110">
    <w:pPr>
      <w:pStyle w:val="1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81C4E">
    <w:pPr>
      <w:pStyle w:val="1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3225">
    <w:pPr>
      <w:pStyle w:val="1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27"/>
    <w:rsid w:val="000139B1"/>
    <w:rsid w:val="00090B0D"/>
    <w:rsid w:val="000A7F26"/>
    <w:rsid w:val="000F2399"/>
    <w:rsid w:val="0010389C"/>
    <w:rsid w:val="001B0CDB"/>
    <w:rsid w:val="002170A0"/>
    <w:rsid w:val="0025703D"/>
    <w:rsid w:val="00290828"/>
    <w:rsid w:val="00297271"/>
    <w:rsid w:val="002B09EA"/>
    <w:rsid w:val="002E0643"/>
    <w:rsid w:val="002F70D5"/>
    <w:rsid w:val="00314886"/>
    <w:rsid w:val="003175AA"/>
    <w:rsid w:val="00337760"/>
    <w:rsid w:val="0034238A"/>
    <w:rsid w:val="00363A68"/>
    <w:rsid w:val="003678B6"/>
    <w:rsid w:val="003B6B1C"/>
    <w:rsid w:val="003E7D97"/>
    <w:rsid w:val="00401FBD"/>
    <w:rsid w:val="00406CAA"/>
    <w:rsid w:val="00440133"/>
    <w:rsid w:val="004435DD"/>
    <w:rsid w:val="0046514E"/>
    <w:rsid w:val="004871A6"/>
    <w:rsid w:val="004A4516"/>
    <w:rsid w:val="004A62BB"/>
    <w:rsid w:val="004C673A"/>
    <w:rsid w:val="004D68C4"/>
    <w:rsid w:val="004E781C"/>
    <w:rsid w:val="0050227B"/>
    <w:rsid w:val="005043A0"/>
    <w:rsid w:val="00570CD0"/>
    <w:rsid w:val="00573713"/>
    <w:rsid w:val="005B1A4D"/>
    <w:rsid w:val="00601093"/>
    <w:rsid w:val="00637DCF"/>
    <w:rsid w:val="006C5AEA"/>
    <w:rsid w:val="006E3295"/>
    <w:rsid w:val="006E4A49"/>
    <w:rsid w:val="00712688"/>
    <w:rsid w:val="0085525C"/>
    <w:rsid w:val="00864E79"/>
    <w:rsid w:val="00885A14"/>
    <w:rsid w:val="009A2C4E"/>
    <w:rsid w:val="009B4FC8"/>
    <w:rsid w:val="009D19E2"/>
    <w:rsid w:val="009E4B00"/>
    <w:rsid w:val="009F13FF"/>
    <w:rsid w:val="00A10F73"/>
    <w:rsid w:val="00A35806"/>
    <w:rsid w:val="00A51CDE"/>
    <w:rsid w:val="00B776AF"/>
    <w:rsid w:val="00B87DAA"/>
    <w:rsid w:val="00BC1027"/>
    <w:rsid w:val="00BE7D37"/>
    <w:rsid w:val="00C529D6"/>
    <w:rsid w:val="00CD2498"/>
    <w:rsid w:val="00D2604E"/>
    <w:rsid w:val="00D35048"/>
    <w:rsid w:val="00D671E3"/>
    <w:rsid w:val="00DF5B44"/>
    <w:rsid w:val="00E15222"/>
    <w:rsid w:val="00EA64BB"/>
    <w:rsid w:val="00EB2027"/>
    <w:rsid w:val="00EC73F4"/>
    <w:rsid w:val="00ED0963"/>
    <w:rsid w:val="00EE3C4D"/>
    <w:rsid w:val="00EF4289"/>
    <w:rsid w:val="00F56FCE"/>
    <w:rsid w:val="00F7151B"/>
    <w:rsid w:val="00FC4074"/>
    <w:rsid w:val="0607E28D"/>
    <w:rsid w:val="137FD600"/>
    <w:rsid w:val="177E9126"/>
    <w:rsid w:val="17AB024F"/>
    <w:rsid w:val="1ABD28FA"/>
    <w:rsid w:val="1D14DCA6"/>
    <w:rsid w:val="1F3F5F50"/>
    <w:rsid w:val="2CB72D32"/>
    <w:rsid w:val="2CDD64BA"/>
    <w:rsid w:val="2DB47D21"/>
    <w:rsid w:val="2EF762BF"/>
    <w:rsid w:val="2FAF982B"/>
    <w:rsid w:val="2FAFC5DB"/>
    <w:rsid w:val="2FF3197C"/>
    <w:rsid w:val="2FFC5141"/>
    <w:rsid w:val="31EBAFE4"/>
    <w:rsid w:val="34E7DC36"/>
    <w:rsid w:val="37BFAD8C"/>
    <w:rsid w:val="37EFC8C6"/>
    <w:rsid w:val="37FF0DF9"/>
    <w:rsid w:val="3B95DDA6"/>
    <w:rsid w:val="3CFF073B"/>
    <w:rsid w:val="3DFD17F3"/>
    <w:rsid w:val="3EDA2BAC"/>
    <w:rsid w:val="3EFF1192"/>
    <w:rsid w:val="3F79CB6F"/>
    <w:rsid w:val="3FD915F3"/>
    <w:rsid w:val="3FDB183A"/>
    <w:rsid w:val="3FDFCD5E"/>
    <w:rsid w:val="3FEBC352"/>
    <w:rsid w:val="3FFAC3D3"/>
    <w:rsid w:val="4695B2C9"/>
    <w:rsid w:val="48BF65F1"/>
    <w:rsid w:val="4FF6CEBD"/>
    <w:rsid w:val="537900EC"/>
    <w:rsid w:val="538F273B"/>
    <w:rsid w:val="53F95E04"/>
    <w:rsid w:val="54EE1402"/>
    <w:rsid w:val="55F20EF4"/>
    <w:rsid w:val="577FE935"/>
    <w:rsid w:val="57DC0B36"/>
    <w:rsid w:val="5AA75349"/>
    <w:rsid w:val="5BFAA203"/>
    <w:rsid w:val="5BFF5C17"/>
    <w:rsid w:val="5DE73FA2"/>
    <w:rsid w:val="5E3FAF9C"/>
    <w:rsid w:val="5E8B9154"/>
    <w:rsid w:val="5EBB8A1B"/>
    <w:rsid w:val="5F3574EB"/>
    <w:rsid w:val="5FAB8037"/>
    <w:rsid w:val="616C7704"/>
    <w:rsid w:val="63FF649F"/>
    <w:rsid w:val="65AB8046"/>
    <w:rsid w:val="65FE0727"/>
    <w:rsid w:val="67FE00EE"/>
    <w:rsid w:val="68F7C3BB"/>
    <w:rsid w:val="69DF37C2"/>
    <w:rsid w:val="69F73D16"/>
    <w:rsid w:val="6C7F3380"/>
    <w:rsid w:val="6D7DBEF1"/>
    <w:rsid w:val="6DDF590E"/>
    <w:rsid w:val="6DFF1511"/>
    <w:rsid w:val="6F27C1FE"/>
    <w:rsid w:val="6FBCD278"/>
    <w:rsid w:val="6FDBE78D"/>
    <w:rsid w:val="6FF43303"/>
    <w:rsid w:val="6FF5C92C"/>
    <w:rsid w:val="6FFE8268"/>
    <w:rsid w:val="75BD66ED"/>
    <w:rsid w:val="75BFF528"/>
    <w:rsid w:val="75F69C29"/>
    <w:rsid w:val="772C0324"/>
    <w:rsid w:val="7756D798"/>
    <w:rsid w:val="77EF484E"/>
    <w:rsid w:val="77F4D19B"/>
    <w:rsid w:val="77FA9082"/>
    <w:rsid w:val="77FB6E9C"/>
    <w:rsid w:val="785FD679"/>
    <w:rsid w:val="78F7DDC4"/>
    <w:rsid w:val="7B1A84FA"/>
    <w:rsid w:val="7B75B246"/>
    <w:rsid w:val="7BA590CA"/>
    <w:rsid w:val="7BC829EB"/>
    <w:rsid w:val="7BDF7996"/>
    <w:rsid w:val="7BEA4BCE"/>
    <w:rsid w:val="7BF3945D"/>
    <w:rsid w:val="7BFBD70E"/>
    <w:rsid w:val="7BFE7742"/>
    <w:rsid w:val="7BFED94F"/>
    <w:rsid w:val="7BFF5D81"/>
    <w:rsid w:val="7D7C9197"/>
    <w:rsid w:val="7DDBCEE6"/>
    <w:rsid w:val="7DEF2B05"/>
    <w:rsid w:val="7DEFC971"/>
    <w:rsid w:val="7DFE3585"/>
    <w:rsid w:val="7DFE77BF"/>
    <w:rsid w:val="7DFFCE00"/>
    <w:rsid w:val="7E0FB705"/>
    <w:rsid w:val="7E45318B"/>
    <w:rsid w:val="7E5F9772"/>
    <w:rsid w:val="7E7FED6E"/>
    <w:rsid w:val="7ED36A69"/>
    <w:rsid w:val="7EDAB9D7"/>
    <w:rsid w:val="7EF751E3"/>
    <w:rsid w:val="7EFF6050"/>
    <w:rsid w:val="7EFFE291"/>
    <w:rsid w:val="7F2F6E36"/>
    <w:rsid w:val="7F4F7508"/>
    <w:rsid w:val="7F5509C2"/>
    <w:rsid w:val="7F651B01"/>
    <w:rsid w:val="7F6A5EE7"/>
    <w:rsid w:val="7F700A0E"/>
    <w:rsid w:val="7F7D5782"/>
    <w:rsid w:val="7FB715F7"/>
    <w:rsid w:val="7FBE7A4A"/>
    <w:rsid w:val="7FCE1670"/>
    <w:rsid w:val="7FD333EA"/>
    <w:rsid w:val="7FDDBCA9"/>
    <w:rsid w:val="7FDF5E69"/>
    <w:rsid w:val="7FF56DAF"/>
    <w:rsid w:val="7FF72446"/>
    <w:rsid w:val="7FF73B8D"/>
    <w:rsid w:val="7FF7C2C8"/>
    <w:rsid w:val="7FF7FF4B"/>
    <w:rsid w:val="7FFD047B"/>
    <w:rsid w:val="7FFEF5F8"/>
    <w:rsid w:val="7FFF4939"/>
    <w:rsid w:val="7FFFA596"/>
    <w:rsid w:val="7FFFAA20"/>
    <w:rsid w:val="7FFFBB37"/>
    <w:rsid w:val="8B74F6EE"/>
    <w:rsid w:val="8FFB9F84"/>
    <w:rsid w:val="950D3866"/>
    <w:rsid w:val="9BBFCE0E"/>
    <w:rsid w:val="9D63F3DB"/>
    <w:rsid w:val="9FCA40C2"/>
    <w:rsid w:val="A1335861"/>
    <w:rsid w:val="A3B9D806"/>
    <w:rsid w:val="A6BD8430"/>
    <w:rsid w:val="A6FF15A2"/>
    <w:rsid w:val="A73E059D"/>
    <w:rsid w:val="AB7A8B42"/>
    <w:rsid w:val="AD771984"/>
    <w:rsid w:val="AD7E97C0"/>
    <w:rsid w:val="AF7D8680"/>
    <w:rsid w:val="AFF184BB"/>
    <w:rsid w:val="B0FF31C5"/>
    <w:rsid w:val="B1BE4838"/>
    <w:rsid w:val="B29BD0D6"/>
    <w:rsid w:val="B3DF605F"/>
    <w:rsid w:val="B6EC52CB"/>
    <w:rsid w:val="B79F92D5"/>
    <w:rsid w:val="B7F759B8"/>
    <w:rsid w:val="BA7E19FE"/>
    <w:rsid w:val="BA9D0CAD"/>
    <w:rsid w:val="BB1966A4"/>
    <w:rsid w:val="BBD9A6B7"/>
    <w:rsid w:val="BC3F5079"/>
    <w:rsid w:val="BCAE478E"/>
    <w:rsid w:val="BD7FE170"/>
    <w:rsid w:val="BD8F7982"/>
    <w:rsid w:val="BDB7787B"/>
    <w:rsid w:val="BDBBD9D3"/>
    <w:rsid w:val="BDBF2F13"/>
    <w:rsid w:val="BEF98F5F"/>
    <w:rsid w:val="BF5F60A4"/>
    <w:rsid w:val="BF9F3961"/>
    <w:rsid w:val="BFFB01BB"/>
    <w:rsid w:val="BFFC0DB3"/>
    <w:rsid w:val="BFFD9892"/>
    <w:rsid w:val="BFFE132A"/>
    <w:rsid w:val="C5EB26C4"/>
    <w:rsid w:val="C6BC936B"/>
    <w:rsid w:val="CB7F2575"/>
    <w:rsid w:val="CDB62000"/>
    <w:rsid w:val="CFB9DA85"/>
    <w:rsid w:val="D3FB3987"/>
    <w:rsid w:val="D72E7FBC"/>
    <w:rsid w:val="D73703FD"/>
    <w:rsid w:val="D9E70A63"/>
    <w:rsid w:val="DA451172"/>
    <w:rsid w:val="DDFE3E1E"/>
    <w:rsid w:val="DE1EE03D"/>
    <w:rsid w:val="DE758C77"/>
    <w:rsid w:val="DE7703D6"/>
    <w:rsid w:val="DEFE74D8"/>
    <w:rsid w:val="DEFF78DB"/>
    <w:rsid w:val="DF6756A7"/>
    <w:rsid w:val="DFBA27A0"/>
    <w:rsid w:val="DFBFAC58"/>
    <w:rsid w:val="DFDEF3BD"/>
    <w:rsid w:val="DFFFA71A"/>
    <w:rsid w:val="E3B71654"/>
    <w:rsid w:val="E4FE7C86"/>
    <w:rsid w:val="E5C5750D"/>
    <w:rsid w:val="E7ED7D4B"/>
    <w:rsid w:val="E7EEDB12"/>
    <w:rsid w:val="E7F6C03E"/>
    <w:rsid w:val="EADFD58B"/>
    <w:rsid w:val="EAF7FFD3"/>
    <w:rsid w:val="EAFFA35C"/>
    <w:rsid w:val="EBEFB710"/>
    <w:rsid w:val="EC2F623B"/>
    <w:rsid w:val="EDA753A8"/>
    <w:rsid w:val="EDF56B43"/>
    <w:rsid w:val="EDFB8D32"/>
    <w:rsid w:val="EE4BA23E"/>
    <w:rsid w:val="EE9CC1DE"/>
    <w:rsid w:val="EEE9A2D5"/>
    <w:rsid w:val="EEFFA48F"/>
    <w:rsid w:val="EF3979BA"/>
    <w:rsid w:val="EF631E26"/>
    <w:rsid w:val="EF7D0771"/>
    <w:rsid w:val="EFBD5C40"/>
    <w:rsid w:val="EFDAD8EC"/>
    <w:rsid w:val="EFDF39F1"/>
    <w:rsid w:val="EFFBBDAE"/>
    <w:rsid w:val="F1FB7737"/>
    <w:rsid w:val="F2AF9DD0"/>
    <w:rsid w:val="F37F740B"/>
    <w:rsid w:val="F3CFCDB3"/>
    <w:rsid w:val="F59FBECF"/>
    <w:rsid w:val="F5D99717"/>
    <w:rsid w:val="F6F25D4D"/>
    <w:rsid w:val="F6FF81DD"/>
    <w:rsid w:val="F75F7852"/>
    <w:rsid w:val="F7CE7DC1"/>
    <w:rsid w:val="F7DB5D23"/>
    <w:rsid w:val="F7DBB191"/>
    <w:rsid w:val="F7FBB606"/>
    <w:rsid w:val="F7FECCF9"/>
    <w:rsid w:val="F9BCA74C"/>
    <w:rsid w:val="F9FEE6CC"/>
    <w:rsid w:val="FA36F418"/>
    <w:rsid w:val="FA7344FB"/>
    <w:rsid w:val="FA7D3E5D"/>
    <w:rsid w:val="FAE3DB4D"/>
    <w:rsid w:val="FAFB4D7A"/>
    <w:rsid w:val="FAFDB433"/>
    <w:rsid w:val="FB5E5D49"/>
    <w:rsid w:val="FB7F48A7"/>
    <w:rsid w:val="FBD74123"/>
    <w:rsid w:val="FBF786CC"/>
    <w:rsid w:val="FBFD27A3"/>
    <w:rsid w:val="FBFD643F"/>
    <w:rsid w:val="FBFF1400"/>
    <w:rsid w:val="FCA5D16F"/>
    <w:rsid w:val="FD277C79"/>
    <w:rsid w:val="FD3EE9A1"/>
    <w:rsid w:val="FD5B562D"/>
    <w:rsid w:val="FD77BBFF"/>
    <w:rsid w:val="FDB2A320"/>
    <w:rsid w:val="FDE79189"/>
    <w:rsid w:val="FDEE985B"/>
    <w:rsid w:val="FDF567C9"/>
    <w:rsid w:val="FE3904ED"/>
    <w:rsid w:val="FEB3B2D8"/>
    <w:rsid w:val="FEC3398D"/>
    <w:rsid w:val="FECA9CAB"/>
    <w:rsid w:val="FEEFA739"/>
    <w:rsid w:val="FEF7BD52"/>
    <w:rsid w:val="FF1574C4"/>
    <w:rsid w:val="FF645491"/>
    <w:rsid w:val="FF6910EC"/>
    <w:rsid w:val="FF6F0208"/>
    <w:rsid w:val="FF774A67"/>
    <w:rsid w:val="FF77B54E"/>
    <w:rsid w:val="FF7C73D2"/>
    <w:rsid w:val="FF8F0728"/>
    <w:rsid w:val="FFBF32C8"/>
    <w:rsid w:val="FFBFAD57"/>
    <w:rsid w:val="FFEDE3AF"/>
    <w:rsid w:val="FFF73A98"/>
    <w:rsid w:val="FFF7D0E0"/>
    <w:rsid w:val="FFFBA89F"/>
    <w:rsid w:val="FFFE19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left"/>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40"/>
    <w:semiHidden/>
    <w:unhideWhenUsed/>
    <w:qFormat/>
    <w:uiPriority w:val="99"/>
    <w:pPr>
      <w:ind w:left="100" w:leftChars="2500"/>
    </w:pPr>
  </w:style>
  <w:style w:type="paragraph" w:styleId="12">
    <w:name w:val="footer"/>
    <w:basedOn w:val="1"/>
    <w:link w:val="39"/>
    <w:unhideWhenUsed/>
    <w:qFormat/>
    <w:uiPriority w:val="99"/>
    <w:pPr>
      <w:tabs>
        <w:tab w:val="center" w:pos="4153"/>
        <w:tab w:val="right" w:pos="8306"/>
      </w:tabs>
      <w:snapToGrid w:val="0"/>
      <w:spacing w:line="240" w:lineRule="atLeast"/>
    </w:pPr>
    <w:rPr>
      <w:sz w:val="18"/>
      <w:szCs w:val="18"/>
    </w:rPr>
  </w:style>
  <w:style w:type="paragraph" w:styleId="13">
    <w:name w:val="header"/>
    <w:basedOn w:val="1"/>
    <w:link w:val="38"/>
    <w:unhideWhenUsed/>
    <w:qFormat/>
    <w:uiPriority w:val="99"/>
    <w:pPr>
      <w:tabs>
        <w:tab w:val="center" w:pos="4153"/>
        <w:tab w:val="right" w:pos="8306"/>
      </w:tabs>
      <w:snapToGrid w:val="0"/>
      <w:spacing w:line="240" w:lineRule="atLeast"/>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0"/>
    <w:pPr>
      <w:widowControl w:val="0"/>
      <w:spacing w:before="100" w:beforeAutospacing="1" w:after="100" w:afterAutospacing="1" w:line="240" w:lineRule="auto"/>
    </w:pPr>
    <w:rPr>
      <w:rFonts w:ascii="Calibri" w:hAnsi="Calibri" w:eastAsia="宋体" w:cs="Times New Roman"/>
      <w:kern w:val="0"/>
      <w:sz w:val="24"/>
      <w:szCs w:val="24"/>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9">
    <w:name w:val="Strong"/>
    <w:basedOn w:val="18"/>
    <w:qFormat/>
    <w:uiPriority w:val="0"/>
    <w:rPr>
      <w:b/>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character" w:customStyle="1" w:styleId="40">
    <w:name w:val="日期 字符"/>
    <w:basedOn w:val="18"/>
    <w:link w:val="11"/>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1811</Words>
  <Characters>1830</Characters>
  <Lines>1</Lines>
  <Paragraphs>1</Paragraphs>
  <TotalTime>255</TotalTime>
  <ScaleCrop>false</ScaleCrop>
  <LinksUpToDate>false</LinksUpToDate>
  <CharactersWithSpaces>3601</CharactersWithSpaces>
  <Application>WPS Office WWO_wpscloud_20250116195355-13c312bd48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2025-08-23T19:32:00Z</dcterms:created>
  <dc:creator>波 波</dc:creator>
  <cp:lastModifiedBy>fgw</cp:lastModifiedBy>
  <cp:lastPrinted>2025-11-19T03:13:00Z</cp:lastPrinted>
  <dcterms:modified xsi:type="dcterms:W3CDTF">2025-11-18T19:05:01Z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2BDDA275DFD3EC4EDD521C699C3E8CE6_43</vt:lpwstr>
  </property>
</Properties>
</file>