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55F1C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pacing w:val="-11"/>
          <w:sz w:val="44"/>
        </w:rPr>
      </w:pPr>
      <mc:AlternateContent>
        <mc:Choice Requires="wpsCustomData">
          <wpsCustomData:docfieldStart id="0" docfieldname="标题_1" hidden="0" print="1" readonly="0" index="1"/>
        </mc:Choice>
      </mc:AlternateContent>
    </w:p>
    <w:p w14:paraId="00939DD2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pacing w:val="-11"/>
          <w:sz w:val="44"/>
        </w:rPr>
      </w:pPr>
    </w:p>
    <w:p w14:paraId="5383E60D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pacing w:val="-11"/>
          <w:sz w:val="44"/>
        </w:rPr>
      </w:pPr>
      <w:r>
        <w:rPr>
          <w:rFonts w:hint="default" w:ascii="Times New Roman" w:hAnsi="Times New Roman" w:cs="Times New Roman"/>
          <w:spacing w:val="-11"/>
          <w:sz w:val="44"/>
        </w:rPr>
        <w:t>保持政策框架稳定</w:t>
      </w:r>
      <w:r>
        <w:rPr>
          <w:rFonts w:hint="eastAsia" w:ascii="Times New Roman" w:hAnsi="Times New Roman" w:cs="Times New Roman"/>
          <w:spacing w:val="-11"/>
          <w:sz w:val="4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11"/>
          <w:sz w:val="44"/>
        </w:rPr>
        <w:t>推动</w:t>
      </w:r>
      <w:r>
        <w:rPr>
          <w:rFonts w:hint="eastAsia" w:ascii="Times New Roman" w:hAnsi="Times New Roman" w:cs="Times New Roman"/>
          <w:spacing w:val="-11"/>
          <w:sz w:val="44"/>
          <w:lang w:eastAsia="zh-CN"/>
        </w:rPr>
        <w:t>新疆</w:t>
      </w:r>
      <w:r>
        <w:rPr>
          <w:rFonts w:hint="default" w:ascii="Times New Roman" w:hAnsi="Times New Roman" w:cs="Times New Roman"/>
          <w:spacing w:val="-11"/>
          <w:sz w:val="44"/>
        </w:rPr>
        <w:t>棉花产业向优向强</w:t>
      </w:r>
    </w:p>
    <w:p w14:paraId="59480061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40" w:hanging="2240" w:hangingChars="7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——</w:t>
      </w:r>
      <w:r>
        <w:rPr>
          <w:rFonts w:hint="default" w:ascii="Times New Roman" w:hAnsi="Times New Roman" w:eastAsia="楷体_GB2312" w:cs="Times New Roman"/>
          <w:sz w:val="32"/>
          <w:szCs w:val="32"/>
        </w:rPr>
        <w:t>《新疆维吾尔自治区2026—2028年棉花目标价格政策实施方案》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专家</w:t>
      </w:r>
      <w:r>
        <w:rPr>
          <w:rFonts w:hint="default" w:ascii="Times New Roman" w:hAnsi="Times New Roman" w:eastAsia="楷体_GB2312" w:cs="Times New Roman"/>
          <w:sz w:val="32"/>
          <w:szCs w:val="32"/>
        </w:rPr>
        <w:t>解读</w:t>
      </w:r>
      <mc:AlternateContent>
        <mc:Choice Requires="wpsCustomData">
          <wpsCustomData:docfieldEnd id="0"/>
        </mc:Choice>
      </mc:AlternateContent>
    </w:p>
    <w:p w14:paraId="6E018B8A">
      <w:pPr>
        <w:pStyle w:val="1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</w:p>
    <w:p w14:paraId="7B3CF314">
      <w:pPr>
        <w:pStyle w:val="1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目标价格政策是有效保障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新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疆棉农基本收益、稳定国内棉花供给能力、维护国家棉花产业安全、促进新疆经济社会发展的重要支撑。面对水土资源约束趋紧、纺织行业对高品质原料需求提升、全球产业链供应链不确定性加大的新形势，依据国家发展改革委、财政部印发的《关于2026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2028年棉花目标价格政策的通知》（发改价格〔2026〕733号），新疆维吾尔自治区制定《新疆维吾尔自治区2026—2028年棉花目标价格政策实施方案》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（新发改农价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〔2026〕</w:t>
      </w:r>
      <w:r>
        <w:rPr>
          <w:rFonts w:hint="eastAsia" w:cs="Times New Roman"/>
          <w:spacing w:val="0"/>
          <w:sz w:val="32"/>
          <w:szCs w:val="32"/>
          <w:lang w:val="en-US" w:eastAsia="zh-CN"/>
        </w:rPr>
        <w:t>637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号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cs="Times New Roman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cs="Times New Roman"/>
          <w:spacing w:val="0"/>
          <w:sz w:val="32"/>
          <w:szCs w:val="32"/>
          <w:lang w:val="en-US" w:eastAsia="zh-CN"/>
        </w:rPr>
        <w:t>该方案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在延续既有成熟制度框架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基础上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进一步优化调整实施机制，整体呈现“稳中求变、变中求进”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改革逻辑</w:t>
      </w:r>
      <w:r>
        <w:rPr>
          <w:rFonts w:hint="default" w:ascii="Times New Roman" w:hAnsi="Times New Roman" w:cs="Times New Roman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构建起兼顾棉农收益、产业安全、资源生态约束的政策体系，为未来三年新疆棉花产业转型升级提供制度保障。</w:t>
      </w:r>
    </w:p>
    <w:p w14:paraId="2E0D6AF4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spacing w:val="0"/>
          <w:sz w:val="32"/>
        </w:rPr>
      </w:pPr>
      <w:r>
        <w:rPr>
          <w:rFonts w:hint="default" w:ascii="Times New Roman" w:hAnsi="Times New Roman" w:cs="Times New Roman"/>
          <w:spacing w:val="0"/>
          <w:sz w:val="32"/>
          <w:lang w:eastAsia="zh-CN"/>
        </w:rPr>
        <w:t>一、</w:t>
      </w:r>
      <w:r>
        <w:rPr>
          <w:rFonts w:hint="default" w:ascii="Times New Roman" w:hAnsi="Times New Roman" w:cs="Times New Roman"/>
          <w:spacing w:val="0"/>
          <w:sz w:val="32"/>
        </w:rPr>
        <w:t>锚定核心政策参数，夯实产业稳定发展预期</w:t>
      </w:r>
    </w:p>
    <w:p w14:paraId="00F73858">
      <w:pPr>
        <w:pStyle w:val="1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《实施方案》承接既定制度安排，坚持目标价格18600元／吨三年保持不变，坚守“市场定价、价补分离”</w:t>
      </w:r>
      <w:r>
        <w:rPr>
          <w:rFonts w:hint="default" w:ascii="Times New Roman" w:hAnsi="Times New Roman" w:cs="Times New Roman"/>
          <w:spacing w:val="0"/>
          <w:sz w:val="32"/>
          <w:szCs w:val="32"/>
          <w:lang w:val="en-US" w:eastAsia="zh-CN"/>
        </w:rPr>
        <w:t>调控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机制。维护政策连续性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cs="Times New Roman"/>
          <w:spacing w:val="0"/>
          <w:sz w:val="32"/>
          <w:szCs w:val="32"/>
          <w:lang w:val="en-US" w:eastAsia="zh-CN"/>
        </w:rPr>
        <w:t>同时</w:t>
      </w: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通过一系列微观操作规则将顶层要求转化为可核查、可落地的执行条款。</w:t>
      </w:r>
      <w:r>
        <w:rPr>
          <w:rFonts w:hint="default" w:ascii="Times New Roman" w:hAnsi="Times New Roman" w:cs="Times New Roman"/>
          <w:spacing w:val="0"/>
          <w:sz w:val="32"/>
          <w:szCs w:val="32"/>
          <w:lang w:val="en-US" w:eastAsia="zh-CN"/>
        </w:rPr>
        <w:t>其一</w:t>
      </w: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明确交售籽棉量超出预测产量5％且无真实合理理由的，超出部分不予补贴。</w:t>
      </w:r>
      <w:r>
        <w:rPr>
          <w:rFonts w:hint="default" w:ascii="Times New Roman" w:hAnsi="Times New Roman" w:cs="Times New Roman"/>
          <w:spacing w:val="0"/>
          <w:sz w:val="32"/>
          <w:szCs w:val="32"/>
          <w:lang w:val="en-US" w:eastAsia="zh-CN"/>
        </w:rPr>
        <w:t>其二</w:t>
      </w: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直接将籽棉单产预警上限固定在</w:t>
      </w: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％，不再逐年动态调减</w:t>
      </w:r>
      <w:r>
        <w:rPr>
          <w:rFonts w:hint="default" w:ascii="Times New Roman" w:hAnsi="Times New Roman" w:cs="Times New Roman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整体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政策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的稳增收、优结构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信号更加清晰稳定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。</w:t>
      </w:r>
    </w:p>
    <w:p w14:paraId="6D66C791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spacing w:val="0"/>
          <w:sz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  <w:t>着力优化生产布局，推动棉花生产向优势产区集中</w:t>
      </w:r>
    </w:p>
    <w:p w14:paraId="77793353">
      <w:pPr>
        <w:pStyle w:val="1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本轮实施方案重大变化之一，是把优化棉花生产布局提升至政策首要位置，较上一轮政策的排序明显前移，凸显布局优化的政策优先级。立足新疆水资源、耕地资源刚性约束，方案坚持以政策引导、收益调节、技术服务柔性手段，推动棉花产能向34个优势主产县（市）集聚；有序引导非优势棉区、地下水超采区、低产棉田调减棉花种植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同步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推动棉花加工产能布局与植棉格局相匹配，着力化解部分区域加工产能过剩、产加空间错配的结构性矛盾。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同时，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为保障布局调整落地，方案压实种植面积全流程核查，强化地块上图入库管理，完善测产、异常产量核实、公示、审定兑付闭环，以数字化地块数据为基础支撑规模管控。</w:t>
      </w:r>
    </w:p>
    <w:p w14:paraId="7A516E99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pacing w:val="0"/>
          <w:sz w:val="32"/>
        </w:rPr>
      </w:pPr>
      <w:r>
        <w:rPr>
          <w:rFonts w:hint="default" w:ascii="Times New Roman" w:hAnsi="Times New Roman" w:cs="Times New Roman"/>
          <w:spacing w:val="0"/>
          <w:sz w:val="32"/>
          <w:lang w:val="en-US"/>
        </w:rPr>
        <w:t>三</w:t>
      </w:r>
      <w:r>
        <w:rPr>
          <w:rFonts w:hint="default" w:ascii="Times New Roman" w:hAnsi="Times New Roman" w:cs="Times New Roman"/>
          <w:spacing w:val="0"/>
          <w:sz w:val="32"/>
        </w:rPr>
        <w:t>、强化长绒棉战略性保护，稳住特色优势品种生产能力</w:t>
      </w:r>
    </w:p>
    <w:p w14:paraId="1BD6251D">
      <w:pPr>
        <w:pStyle w:val="1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新疆作为国内唯一长绒棉产区，长绒棉直接关系我国高端纺织原料供给安全，但受多重因素制约，种植规模存在萎缩压力。《实施方案》明确提出建立长绒棉生产保护区，配套将长绒棉交售补贴由细绒棉1</w:t>
      </w: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.5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倍提升至2倍，通过“保护区划定＋差异化高额补贴”组合政策，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补齐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长绒棉种植成本高、比较效益不足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等发展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短板，调动生产主体积极性，稳住长绒棉产能，降低国内高端原棉对外依赖水平。</w:t>
      </w:r>
      <w:bookmarkStart w:id="0" w:name="_GoBack"/>
      <w:bookmarkEnd w:id="0"/>
    </w:p>
    <w:p w14:paraId="0E2BCC08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pacing w:val="0"/>
          <w:sz w:val="32"/>
        </w:rPr>
      </w:pPr>
      <w:r>
        <w:rPr>
          <w:rFonts w:hint="default" w:ascii="Times New Roman" w:hAnsi="Times New Roman" w:cs="Times New Roman"/>
          <w:spacing w:val="0"/>
          <w:sz w:val="32"/>
          <w:lang w:val="en-US"/>
        </w:rPr>
        <w:t>四</w:t>
      </w:r>
      <w:r>
        <w:rPr>
          <w:rFonts w:hint="default" w:ascii="Times New Roman" w:hAnsi="Times New Roman" w:cs="Times New Roman"/>
          <w:spacing w:val="0"/>
          <w:sz w:val="32"/>
        </w:rPr>
        <w:t>、持续提升棉花质量，强化“优棉优补”政策导向</w:t>
      </w:r>
    </w:p>
    <w:p w14:paraId="6493BD97">
      <w:pPr>
        <w:pStyle w:val="1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本轮政策加大质量激励改革力度。补贴资金配置上，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pacing w:val="0"/>
          <w:sz w:val="32"/>
          <w:szCs w:val="32"/>
          <w:highlight w:val="none"/>
          <w:vertAlign w:val="baseline"/>
          <w:lang w:val="en-US"/>
        </w:rPr>
        <w:t>本轮取消保险试点保费补贴，补贴资金仅保留交售量补贴、质量补贴两项，推动财政资源集中用于棉花质量提升。棉花质量补贴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占比由上一周期5%</w:t>
      </w: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左右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提高至10%左右。严格补贴范围。果棉间作种植的棉花、落地棉、复采棉不享受补贴；交售籽棉量超出预测产量一定比例且无合理理由的部分不享受补贴。在此基础上，政策明确优化优质棉质量认定标准，完善棉花质量追溯系统、提升追溯精准度，充分发挥激励导向，激发棉花实际种植者和加工企业提升品质的内生动力。与此同时，政策新增可持续棉花标准与认定体系研究，为新疆棉花对接国际可持续纺织品供应链、增强国际竞争力筑牢制度根基。</w:t>
      </w:r>
    </w:p>
    <w:p w14:paraId="1A494A94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spacing w:val="0"/>
          <w:sz w:val="32"/>
        </w:rPr>
      </w:pPr>
      <w:r>
        <w:rPr>
          <w:rFonts w:hint="default" w:ascii="Times New Roman" w:hAnsi="Times New Roman" w:cs="Times New Roman"/>
          <w:spacing w:val="0"/>
          <w:sz w:val="32"/>
          <w:lang w:val="en-US" w:eastAsia="zh-CN"/>
        </w:rPr>
        <w:t>五</w:t>
      </w:r>
      <w:r>
        <w:rPr>
          <w:rFonts w:hint="default" w:ascii="Times New Roman" w:hAnsi="Times New Roman" w:cs="Times New Roman"/>
          <w:spacing w:val="0"/>
          <w:sz w:val="32"/>
          <w:lang w:eastAsia="zh-CN"/>
        </w:rPr>
        <w:t>、</w:t>
      </w:r>
      <w:r>
        <w:rPr>
          <w:rFonts w:hint="default" w:ascii="Times New Roman" w:hAnsi="Times New Roman" w:cs="Times New Roman"/>
          <w:spacing w:val="0"/>
          <w:sz w:val="32"/>
        </w:rPr>
        <w:t>规范加工服务发展，拓宽种植主体收益保障路径</w:t>
      </w:r>
    </w:p>
    <w:p w14:paraId="585227BE">
      <w:pPr>
        <w:pStyle w:val="1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本轮方案将</w:t>
      </w: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棉花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委托加工确定为正式制度安排，并提出补贴申领、交易组织、资金风险防控一体化治理体系。通过推行委托加工新模式，棉花实际种植者可自主交付籽棉、支付加工服务费、独立处置销售皮棉，打破以往籽棉只能直接交售轧花厂的单一交易格局，显著扩大种植主体议价空间，助力棉农充分获取加工环节增值收益。为保障新模式规范运行、堵住制度漏洞</w:t>
      </w: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方案同步建立委托加工闭环监管体系，明确代加工合同、籽棉过磅单、代加工服务增值税发票为补贴申领法定凭证，要求业务信息实时上传政策信息平台，并列明不予补贴情形、严控票据一致与入库时限，实现全流程规范管控。为切实防范收购环节资金风险、保障主体权益，方案健全棉款结算保障制度、搭建专项服务平台，探索收购资金查验机制、强化市场监测预警，系统整治售棉款拖欠问题，切实兜牢种植主体资金收益安全底线。</w:t>
      </w:r>
    </w:p>
    <w:p w14:paraId="45CB51D6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spacing w:val="0"/>
          <w:sz w:val="32"/>
        </w:rPr>
      </w:pPr>
      <w:r>
        <w:rPr>
          <w:rFonts w:hint="default" w:ascii="Times New Roman" w:hAnsi="Times New Roman" w:cs="Times New Roman"/>
          <w:spacing w:val="0"/>
          <w:sz w:val="32"/>
          <w:lang w:val="en-US" w:eastAsia="zh-CN"/>
        </w:rPr>
        <w:t>六</w:t>
      </w:r>
      <w:r>
        <w:rPr>
          <w:rFonts w:hint="default" w:ascii="Times New Roman" w:hAnsi="Times New Roman" w:cs="Times New Roman"/>
          <w:spacing w:val="0"/>
          <w:sz w:val="32"/>
          <w:lang w:eastAsia="zh-CN"/>
        </w:rPr>
        <w:t>、</w:t>
      </w:r>
      <w:r>
        <w:rPr>
          <w:rFonts w:hint="default" w:ascii="Times New Roman" w:hAnsi="Times New Roman" w:cs="Times New Roman"/>
          <w:spacing w:val="0"/>
          <w:sz w:val="32"/>
        </w:rPr>
        <w:t>细化补贴操作边界，提升补贴发放精准性公平性</w:t>
      </w:r>
    </w:p>
    <w:p w14:paraId="2C96C846">
      <w:pPr>
        <w:pStyle w:val="1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《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实施方案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》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针对补贴对象、补贴排除情形、产量异常校验作出多处修订完善。补贴对象删除“非农”限定，正式将“公司”纳入补贴主体范围，适配新疆棉花规模化经营发展现实，保障各类实际种植经营主体平等享有补贴资格。细化不予享受补贴清单，列明8类常规情形，叠加委托加工模式3项专项排除条款，从制度层面防范虚报面积、转圈棉、疆外违规流入棉花套取补贴行为。方案进一步清晰划分政府部门、加工企业、棉花实际种植者三方权责：因企业信息上传失误造成种植者损失，责任由企业承担；种植者自身申报、交售操作不当带来无法申领补贴，损失由种植者自行承担；部门履职不力侵害群众权益的严肃追责，权责边界清晰，有利于化解补贴兑付中的各类纠纷。</w:t>
      </w:r>
    </w:p>
    <w:p w14:paraId="577F7CA1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spacing w:val="0"/>
          <w:sz w:val="32"/>
        </w:rPr>
      </w:pPr>
      <w:r>
        <w:rPr>
          <w:rFonts w:hint="default" w:ascii="Times New Roman" w:hAnsi="Times New Roman" w:cs="Times New Roman"/>
          <w:spacing w:val="0"/>
          <w:sz w:val="32"/>
          <w:lang w:val="en-US" w:eastAsia="zh-CN"/>
        </w:rPr>
        <w:t>七</w:t>
      </w:r>
      <w:r>
        <w:rPr>
          <w:rFonts w:hint="default" w:ascii="Times New Roman" w:hAnsi="Times New Roman" w:cs="Times New Roman"/>
          <w:spacing w:val="0"/>
          <w:sz w:val="32"/>
          <w:lang w:eastAsia="zh-CN"/>
        </w:rPr>
        <w:t>、</w:t>
      </w:r>
      <w:r>
        <w:rPr>
          <w:rFonts w:hint="default" w:ascii="Times New Roman" w:hAnsi="Times New Roman" w:cs="Times New Roman"/>
          <w:spacing w:val="0"/>
          <w:sz w:val="32"/>
        </w:rPr>
        <w:t>健全协同机制，夯实政策落地制度保障</w:t>
      </w:r>
    </w:p>
    <w:p w14:paraId="4CA35F1E">
      <w:pPr>
        <w:pStyle w:val="1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深入推进兵地协同机制，强化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会商协调工作机制，统一基础性制度规则、统一监管执法尺度，畅通信息共享与投诉举报转办渠道，推行兵地交叉检查，推动兵地棉花市场一体化建设。配套监管体系同步迭代升级，持续深化“专业仓储＋在库公检”制度；优化棉花目标价格政策信息平台，推广RFID射频识别芯片，归集地块、采收作业轨迹多维数据，夯实数字化监管底座；修订加工企业公示、诚信经营评价管理办法，加大失信惩戒力度。多部门联动强化执法，严厉打击虚报面积、虚开发票、转圈棉、疆外棉流入套取补贴违法行为，落实追缴所得、取消年度补贴资格、涉嫌犯罪移送司法的惩戒链条。建立采收期市场调度、实地指导、投诉举报公开制度，形成从种植申报、籽棉交售、加工公检核算到违规惩戒的全链条监管闭环。</w:t>
      </w:r>
    </w:p>
    <w:p w14:paraId="53B6DE16">
      <w:pPr>
        <w:pStyle w:val="1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总体来看，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/>
        </w:rPr>
        <w:t>新一轮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《实施方案》是新疆十余年目标价格改革实践迭代升级的成果。坚持稳中求进，在稳住核心制度与收益底线的基础上，从“保产量保收益”向“优布局、提质量、强制度”的战略转型。政策最终成效取决于基层落地执行质量，后续要重点抓好棉花适宜种植区划落地、委托加工政策宣贯、质量溯源监管、异常产量核查、兵地数据互通等关键环节，最大限度释放制度红利，推动新疆棉花产业实现高质量可持续发展，夯实国家棉花供给安全根基。</w:t>
      </w:r>
    </w:p>
    <w:p w14:paraId="076A2A66">
      <w:pPr>
        <w:pStyle w:val="1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 w14:paraId="74A1D9D5">
      <w:pPr>
        <w:pStyle w:val="1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</w:rPr>
        <w:t>作者：宋玉兰教授，新疆现代棉花产业体系产业经济岗位科学家，新疆农业大学经济管理学院院长）</w:t>
      </w:r>
    </w:p>
    <w:p w14:paraId="6F8D17B9">
      <w:pPr>
        <w:pStyle w:val="1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cs="Times New Roma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fmt="numberInDash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Liberation Serif">
    <w:altName w:val="汉仪书宋二KW"/>
    <w:panose1 w:val="00000000000000000000"/>
    <w:charset w:val="86"/>
    <w:family w:val="roman"/>
    <w:pitch w:val="default"/>
    <w:sig w:usb0="00000000" w:usb1="00000000" w:usb2="00000021" w:usb3="00000000" w:csb0="000001BF" w:csb1="00000000"/>
  </w:font>
  <w:font w:name="新宋体">
    <w:altName w:val="汉仪书宋二KW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微软雅黑">
    <w:altName w:val="黑体"/>
    <w:panose1 w:val="020B0503020002020204"/>
    <w:charset w:val="86"/>
    <w:family w:val="swiss"/>
    <w:pitch w:val="default"/>
    <w:sig w:usb0="00000000" w:usb1="00000000" w:usb2="00000016" w:usb3="00000000" w:csb0="0004001F" w:csb1="00000000"/>
  </w:font>
  <w:font w:name="楷体">
    <w:altName w:val="汉仪楷体KW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5A7A2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D9A5B2">
                          <w:pPr>
                            <w:pStyle w:val="1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D9A5B2">
                    <w:pPr>
                      <w:pStyle w:val="1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4C3C4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6AB900">
                          <w:pPr>
                            <w:pStyle w:val="1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6AB900">
                    <w:pPr>
                      <w:pStyle w:val="1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BF7E8E"/>
    <w:rsid w:val="7E5B7742"/>
    <w:rsid w:val="7FAFC873"/>
    <w:rsid w:val="9B3FC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left"/>
    </w:pPr>
    <w:rPr>
      <w:rFonts w:ascii="Calibri" w:hAnsi="Calibri" w:eastAsia="Times New Roman" w:cs="宋体"/>
      <w:kern w:val="2"/>
      <w:sz w:val="21"/>
      <w:szCs w:val="24"/>
      <w:lang w:val="en-US" w:eastAsia="zh-CN" w:bidi="ar-SA"/>
    </w:rPr>
  </w:style>
  <w:style w:type="paragraph" w:styleId="4">
    <w:name w:val="heading 1"/>
    <w:next w:val="1"/>
    <w:qFormat/>
    <w:uiPriority w:val="0"/>
    <w:pPr>
      <w:keepNext/>
      <w:keepLines/>
      <w:spacing w:beforeAutospacing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5">
    <w:name w:val="heading 2"/>
    <w:next w:val="1"/>
    <w:qFormat/>
    <w:uiPriority w:val="0"/>
    <w:pPr>
      <w:keepNext/>
      <w:keepLines/>
      <w:spacing w:beforeAutospacing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6">
    <w:name w:val="heading 3"/>
    <w:next w:val="1"/>
    <w:qFormat/>
    <w:uiPriority w:val="0"/>
    <w:pPr>
      <w:keepNext/>
      <w:keepLines/>
      <w:spacing w:beforeAutospacing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4"/>
    <w:next w:val="1"/>
    <w:qFormat/>
    <w:uiPriority w:val="0"/>
    <w:pPr>
      <w:keepNext/>
      <w:keepLines/>
      <w:spacing w:beforeAutospacing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5"/>
    <w:next w:val="1"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6"/>
    <w:next w:val="1"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7"/>
    <w:next w:val="1"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8"/>
    <w:next w:val="1"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2">
    <w:name w:val="heading 9"/>
    <w:next w:val="1"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1">
    <w:name w:val="Default Paragraph Font"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1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Subtitle"/>
    <w:qFormat/>
    <w:uiPriority w:val="0"/>
    <w:pPr>
      <w:spacing w:beforeAutospacing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7">
    <w:name w:val="toc 2"/>
    <w:basedOn w:val="1"/>
    <w:next w:val="1"/>
    <w:qFormat/>
    <w:uiPriority w:val="0"/>
    <w:pPr>
      <w:ind w:left="420" w:leftChars="200"/>
    </w:pPr>
    <w:rPr>
      <w:rFonts w:ascii="宋体" w:hAnsi="宋体" w:eastAsia="仿宋" w:cs="宋体"/>
      <w:kern w:val="0"/>
      <w:sz w:val="24"/>
    </w:rPr>
  </w:style>
  <w:style w:type="paragraph" w:styleId="1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9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22">
    <w:name w:val="Strong"/>
    <w:basedOn w:val="21"/>
    <w:qFormat/>
    <w:uiPriority w:val="0"/>
    <w:rPr>
      <w:b/>
    </w:rPr>
  </w:style>
  <w:style w:type="paragraph" w:customStyle="1" w:styleId="23">
    <w:name w:val="样式1"/>
    <w:basedOn w:val="1"/>
    <w:next w:val="1"/>
    <w:qFormat/>
    <w:uiPriority w:val="0"/>
    <w:pPr>
      <w:keepNext/>
      <w:keepLines/>
      <w:adjustRightInd w:val="0"/>
      <w:snapToGrid w:val="0"/>
      <w:spacing w:line="240" w:lineRule="auto"/>
      <w:outlineLvl w:val="0"/>
    </w:pPr>
    <w:rPr>
      <w:rFonts w:ascii="Liberation Serif" w:hAnsi="Liberation Serif" w:eastAsia="新宋体" w:cs="Arial"/>
      <w:b/>
      <w:kern w:val="44"/>
      <w:sz w:val="24"/>
      <w:lang w:bidi="hi-IN"/>
    </w:rPr>
  </w:style>
  <w:style w:type="character" w:customStyle="1" w:styleId="24">
    <w:name w:val="标题 1 Char"/>
    <w:qFormat/>
    <w:uiPriority w:val="0"/>
    <w:rPr>
      <w:rFonts w:ascii="Arial" w:hAnsi="Arial" w:eastAsia="微软雅黑" w:cs="宋体"/>
      <w:b/>
      <w:snapToGrid w:val="0"/>
      <w:color w:val="000000"/>
      <w:kern w:val="44"/>
      <w:sz w:val="32"/>
      <w:szCs w:val="21"/>
      <w:shd w:val="clear" w:color="auto" w:fill="FFFFFF"/>
      <w:lang w:eastAsia="en-US" w:bidi="hi-IN"/>
      <w14:shadow w14:blurRad="50800" w14:dist="50800" w14:dir="5400000" w14:sx="1000" w14:sy="1000" w14:kx="0" w14:ky="0" w14:algn="ctr">
        <w14:srgbClr w14:val="0070C0">
          <w14:alpha w14:val="65000"/>
        </w14:srgbClr>
      </w14:shadow>
    </w:rPr>
  </w:style>
  <w:style w:type="character" w:customStyle="1" w:styleId="25">
    <w:name w:val="标题 3 Char"/>
    <w:qFormat/>
    <w:uiPriority w:val="0"/>
    <w:rPr>
      <w:rFonts w:ascii="楷体" w:hAnsi="楷体" w:eastAsia="楷体" w:cs="楷体"/>
      <w:b/>
      <w:kern w:val="0"/>
      <w:sz w:val="32"/>
      <w:szCs w:val="32"/>
      <w:highlight w:val="none"/>
      <w:lang w:val="en-US" w:eastAsia="zh-CN"/>
      <w14:ligatures w14:val="standardContextual"/>
    </w:rPr>
  </w:style>
  <w:style w:type="character" w:customStyle="1" w:styleId="26">
    <w:name w:val="标题 2 字符"/>
    <w:qFormat/>
    <w:uiPriority w:val="0"/>
    <w:rPr>
      <w:rFonts w:ascii="Times New Roman" w:hAnsi="Times New Roman" w:eastAsia="仿宋" w:cs="Times New Roman"/>
      <w:b/>
      <w:bCs/>
      <w:color w:val="000000"/>
      <w:kern w:val="2"/>
      <w:sz w:val="28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2650</Words>
  <Characters>2690</Characters>
  <Paragraphs>34</Paragraphs>
  <TotalTime>12</TotalTime>
  <ScaleCrop>false</ScaleCrop>
  <LinksUpToDate>false</LinksUpToDate>
  <CharactersWithSpaces>2690</CharactersWithSpaces>
  <Application>WPS Office WWO_wpscloud_20250116195355-13c312bd48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2026-09-07T21:48:00Z</dcterms:created>
  <dc:creator>宋玉兰</dc:creator>
  <cp:lastModifiedBy>fgw</cp:lastModifiedBy>
  <cp:lastPrinted>2026-09-10T09:16:00Z</cp:lastPrinted>
  <dcterms:modified xsi:type="dcterms:W3CDTF">2026-09-09T17:43:35Z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747ED8B466A33EE5472AA16AEAC2D5BB_43</vt:lpwstr>
  </property>
  <property fmtid="{D5CDD505-2E9C-101B-9397-08002B2CF9AE}" pid="4" name="KSOTemplateDocerSaveRecord">
    <vt:lpwstr>eyJoZGlkIjoiMzEwNTM5NzYwMDRjMzkwZTVkZjY2ODkwMGIxNGU0OTUiLCJ1c2VySWQiOiIyNTU3MzE5MTgifQ==</vt:lpwstr>
  </property>
</Properties>
</file>