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626399">
      <w:pPr>
        <w:rPr>
          <w:rFonts w:ascii="微软雅黑" w:hAnsi="微软雅黑" w:eastAsia="微软雅黑" w:cs="微软雅黑"/>
          <w:i w:val="0"/>
          <w:iCs w:val="0"/>
          <w:caps w:val="0"/>
          <w:color w:val="242424"/>
          <w:spacing w:val="0"/>
          <w:sz w:val="30"/>
          <w:szCs w:val="30"/>
          <w:shd w:val="clear" w:fill="FFFFFF"/>
        </w:rPr>
      </w:pPr>
      <w:r>
        <w:rPr>
          <w:rFonts w:ascii="微软雅黑" w:hAnsi="微软雅黑" w:eastAsia="微软雅黑" w:cs="微软雅黑"/>
          <w:i w:val="0"/>
          <w:iCs w:val="0"/>
          <w:caps w:val="0"/>
          <w:color w:val="242424"/>
          <w:spacing w:val="0"/>
          <w:sz w:val="30"/>
          <w:szCs w:val="30"/>
          <w:shd w:val="clear" w:fill="FFFFFF"/>
        </w:rPr>
        <w:t>《新疆维吾尔自治区发展改革委重大固定资产投资项目社会稳定风险评估办法》政策解读</w:t>
      </w:r>
    </w:p>
    <w:p w14:paraId="404A4F78">
      <w:pPr>
        <w:rPr>
          <w:rFonts w:ascii="微软雅黑" w:hAnsi="微软雅黑" w:eastAsia="微软雅黑" w:cs="微软雅黑"/>
          <w:i w:val="0"/>
          <w:iCs w:val="0"/>
          <w:caps w:val="0"/>
          <w:color w:val="242424"/>
          <w:spacing w:val="0"/>
          <w:sz w:val="30"/>
          <w:szCs w:val="30"/>
          <w:shd w:val="clear" w:fill="FFFFFF"/>
        </w:rPr>
      </w:pPr>
    </w:p>
    <w:p w14:paraId="7116999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bookmarkStart w:id="0" w:name="_GoBack"/>
      <w:r>
        <w:rPr>
          <w:rFonts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自治区发展改革委印发《新疆维吾尔自治区发展改革委重大固定资产投资项目社会稳定风险评估办法》（以下简称《办法》）。为方便社会各界准确理解把握政策精神，</w:t>
      </w:r>
      <w:r>
        <w:rPr>
          <w:rFonts w:hint="eastAsia" w:ascii="仿宋_GB2312" w:hAnsi="宋体"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现</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就《办法》相关内容解读</w:t>
      </w:r>
      <w:r>
        <w:rPr>
          <w:rFonts w:hint="eastAsia" w:ascii="仿宋_GB2312" w:hAnsi="宋体"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如下</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w:t>
      </w:r>
    </w:p>
    <w:p w14:paraId="5082D1C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ascii="黑体" w:hAnsi="宋体" w:eastAsia="黑体" w:cs="黑体"/>
          <w:i w:val="0"/>
          <w:iCs w:val="0"/>
          <w:caps w:val="0"/>
          <w:color w:val="000000"/>
          <w:spacing w:val="0"/>
          <w:kern w:val="0"/>
          <w:sz w:val="32"/>
          <w:szCs w:val="32"/>
          <w:u w:val="none"/>
          <w:bdr w:val="none" w:color="auto" w:sz="0" w:space="0"/>
          <w:shd w:val="clear" w:fill="FFFFFF"/>
          <w:vertAlign w:val="baseline"/>
          <w:lang w:val="en-US" w:eastAsia="zh-CN" w:bidi="ar"/>
        </w:rPr>
        <w:t>一、《办法》出台背景是什么？</w:t>
      </w:r>
    </w:p>
    <w:p w14:paraId="778DC19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i w:val="0"/>
          <w:iCs w:val="0"/>
          <w:caps w:val="0"/>
          <w:color w:val="505050"/>
          <w:spacing w:val="0"/>
          <w:kern w:val="0"/>
          <w:sz w:val="32"/>
          <w:szCs w:val="32"/>
          <w:u w:val="none"/>
          <w:bdr w:val="none" w:color="auto" w:sz="0" w:space="0"/>
          <w:shd w:val="clear" w:fill="FFFFFF"/>
          <w:vertAlign w:val="baseline"/>
          <w:lang w:val="en-US" w:eastAsia="zh-CN" w:bidi="ar"/>
        </w:rPr>
        <w:t>重大固定资产投资项目往往涉及群众切身利益、生态环境影响、资源开发利用等敏感领域，若前期风险研判不充分、群众沟通不到位，容易引发群体性事件或负面舆情，影响项目落地和社会稳定。</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开展重大固定资产投资项目社会稳定风险评估，是重大项目科学决策的重要制度安排，是从源头防范化解项目建设领域矛盾风险、维护群众合法权益、保障项目顺利落地实施的关键抓手。</w:t>
      </w:r>
    </w:p>
    <w:p w14:paraId="09F687D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default" w:ascii="Times New Roman" w:hAnsi="Times New Roman" w:eastAsia="宋体" w:cs="Times New Roman"/>
          <w:i w:val="0"/>
          <w:iCs w:val="0"/>
          <w:caps w:val="0"/>
          <w:color w:val="505050"/>
          <w:spacing w:val="0"/>
          <w:kern w:val="0"/>
          <w:sz w:val="32"/>
          <w:szCs w:val="32"/>
          <w:u w:val="none"/>
          <w:bdr w:val="none" w:color="auto" w:sz="0" w:space="0"/>
          <w:shd w:val="clear" w:fill="FFFFFF"/>
          <w:vertAlign w:val="baseline"/>
          <w:lang w:val="en-US" w:eastAsia="zh-CN" w:bidi="ar"/>
        </w:rPr>
        <w:t>2013</w:t>
      </w:r>
      <w:r>
        <w:rPr>
          <w:rFonts w:hint="eastAsia" w:ascii="仿宋_GB2312" w:hAnsi="Times New Roman" w:eastAsia="仿宋_GB2312" w:cs="仿宋_GB2312"/>
          <w:i w:val="0"/>
          <w:iCs w:val="0"/>
          <w:caps w:val="0"/>
          <w:color w:val="505050"/>
          <w:spacing w:val="0"/>
          <w:kern w:val="0"/>
          <w:sz w:val="32"/>
          <w:szCs w:val="32"/>
          <w:u w:val="none"/>
          <w:bdr w:val="none" w:color="auto" w:sz="0" w:space="0"/>
          <w:shd w:val="clear" w:fill="FFFFFF"/>
          <w:vertAlign w:val="baseline"/>
          <w:lang w:val="en-US" w:eastAsia="zh-CN" w:bidi="ar"/>
        </w:rPr>
        <w:t>年印发的</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《新疆维吾尔自治区发展改革委重大固定资产投资项目社会稳定风险评估暂行办法》（新发改投资〔</w:t>
      </w:r>
      <w:r>
        <w:rPr>
          <w:rFonts w:hint="default" w:ascii="Times New Roman" w:hAnsi="Times New Roman" w:eastAsia="宋体" w:cs="Times New Roman"/>
          <w:i w:val="0"/>
          <w:iCs w:val="0"/>
          <w:caps w:val="0"/>
          <w:color w:val="000000"/>
          <w:spacing w:val="0"/>
          <w:kern w:val="0"/>
          <w:sz w:val="32"/>
          <w:szCs w:val="32"/>
          <w:u w:val="none"/>
          <w:bdr w:val="none" w:color="auto" w:sz="0" w:space="0"/>
          <w:shd w:val="clear" w:fill="FFFFFF"/>
          <w:vertAlign w:val="baseline"/>
          <w:lang w:val="en-US" w:eastAsia="zh-CN" w:bidi="ar"/>
        </w:rPr>
        <w:t>2013</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w:t>
      </w:r>
      <w:r>
        <w:rPr>
          <w:rFonts w:hint="default" w:ascii="Times New Roman" w:hAnsi="Times New Roman" w:eastAsia="宋体" w:cs="Times New Roman"/>
          <w:i w:val="0"/>
          <w:iCs w:val="0"/>
          <w:caps w:val="0"/>
          <w:color w:val="000000"/>
          <w:spacing w:val="0"/>
          <w:kern w:val="0"/>
          <w:sz w:val="32"/>
          <w:szCs w:val="32"/>
          <w:u w:val="none"/>
          <w:bdr w:val="none" w:color="auto" w:sz="0" w:space="0"/>
          <w:shd w:val="clear" w:fill="FFFFFF"/>
          <w:vertAlign w:val="baseline"/>
          <w:lang w:val="en-US" w:eastAsia="zh-CN" w:bidi="ar"/>
        </w:rPr>
        <w:t>3211</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号）自实施以来，在规范我区重大项目稳评工作方面发挥了积极作用，</w:t>
      </w:r>
      <w:r>
        <w:rPr>
          <w:rFonts w:hint="eastAsia" w:ascii="仿宋_GB2312" w:hAnsi="Times New Roman" w:eastAsia="仿宋_GB2312" w:cs="仿宋_GB2312"/>
          <w:i w:val="0"/>
          <w:iCs w:val="0"/>
          <w:caps w:val="0"/>
          <w:color w:val="505050"/>
          <w:spacing w:val="0"/>
          <w:kern w:val="0"/>
          <w:sz w:val="32"/>
          <w:szCs w:val="32"/>
          <w:u w:val="none"/>
          <w:bdr w:val="none" w:color="auto" w:sz="0" w:space="0"/>
          <w:shd w:val="clear" w:fill="FFFFFF"/>
          <w:vertAlign w:val="baseline"/>
          <w:lang w:val="en-US" w:eastAsia="zh-CN" w:bidi="ar"/>
        </w:rPr>
        <w:t>为自治区重大项目稳评工作奠定了制度基础</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。随着我区</w:t>
      </w:r>
      <w:r>
        <w:rPr>
          <w:rFonts w:hint="eastAsia" w:ascii="仿宋_GB2312" w:hAnsi="Times New Roman" w:eastAsia="仿宋_GB2312" w:cs="仿宋_GB2312"/>
          <w:i w:val="0"/>
          <w:iCs w:val="0"/>
          <w:caps w:val="0"/>
          <w:color w:val="505050"/>
          <w:spacing w:val="0"/>
          <w:kern w:val="0"/>
          <w:sz w:val="32"/>
          <w:szCs w:val="32"/>
          <w:u w:val="none"/>
          <w:bdr w:val="none" w:color="auto" w:sz="0" w:space="0"/>
          <w:shd w:val="clear" w:fill="FFFFFF"/>
          <w:vertAlign w:val="baseline"/>
          <w:lang w:val="en-US" w:eastAsia="zh-CN" w:bidi="ar"/>
        </w:rPr>
        <w:t>经济社会发展和治理能力提升</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，原有暂行办法部分条款在</w:t>
      </w:r>
      <w:r>
        <w:rPr>
          <w:rFonts w:hint="eastAsia" w:ascii="仿宋_GB2312" w:hAnsi="Times New Roman" w:eastAsia="仿宋_GB2312" w:cs="仿宋_GB2312"/>
          <w:i w:val="0"/>
          <w:iCs w:val="0"/>
          <w:caps w:val="0"/>
          <w:color w:val="505050"/>
          <w:spacing w:val="0"/>
          <w:kern w:val="0"/>
          <w:sz w:val="32"/>
          <w:szCs w:val="32"/>
          <w:u w:val="none"/>
          <w:bdr w:val="none" w:color="auto" w:sz="0" w:space="0"/>
          <w:shd w:val="clear" w:fill="FFFFFF"/>
          <w:vertAlign w:val="baseline"/>
          <w:lang w:val="en-US" w:eastAsia="zh-CN" w:bidi="ar"/>
        </w:rPr>
        <w:t>评估范围、责任划分、程序规范等方面已不能完全适应</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当前项目审批管理实际需要。为落实国家、自治区关于重大事项社会稳定风险评估工作部署要求，进一步厘清各方职责，规范评估流程，统一评审标准，强化评估结果运用，自治区发展改革委在充分调研、公开征求社会意见基础上，对暂行办法进行全面修订，正式印发实施本《办法》。</w:t>
      </w:r>
    </w:p>
    <w:p w14:paraId="1CE094F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黑体" w:hAnsi="宋体" w:eastAsia="黑体" w:cs="黑体"/>
          <w:i w:val="0"/>
          <w:iCs w:val="0"/>
          <w:caps w:val="0"/>
          <w:color w:val="000000"/>
          <w:spacing w:val="0"/>
          <w:kern w:val="0"/>
          <w:sz w:val="32"/>
          <w:szCs w:val="32"/>
          <w:u w:val="none"/>
          <w:bdr w:val="none" w:color="auto" w:sz="0" w:space="0"/>
          <w:shd w:val="clear" w:fill="FFFFFF"/>
          <w:vertAlign w:val="baseline"/>
          <w:lang w:val="en-US" w:eastAsia="zh-CN" w:bidi="ar"/>
        </w:rPr>
        <w:t>二、《办法》制定的主要依据有哪些？</w:t>
      </w:r>
    </w:p>
    <w:p w14:paraId="49093E5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办法》主要依据国家发展改革委重大固定资产投资项目社会稳定风险评估相关制度，自治区重大事项社会稳定风险评估工作相关规定，结合新疆重大项目建设、征地拆迁、群众利益保障等实际情况编制，适用于自治区发展改革委审批、核准的重大固定资产投资项目社会稳定风险评估管理工作。</w:t>
      </w:r>
    </w:p>
    <w:p w14:paraId="17DE240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黑体" w:hAnsi="宋体" w:eastAsia="黑体" w:cs="黑体"/>
          <w:i w:val="0"/>
          <w:iCs w:val="0"/>
          <w:caps w:val="0"/>
          <w:color w:val="000000"/>
          <w:spacing w:val="0"/>
          <w:kern w:val="0"/>
          <w:sz w:val="32"/>
          <w:szCs w:val="32"/>
          <w:u w:val="none"/>
          <w:bdr w:val="none" w:color="auto" w:sz="0" w:space="0"/>
          <w:shd w:val="clear" w:fill="FFFFFF"/>
          <w:vertAlign w:val="baseline"/>
          <w:lang w:val="en-US" w:eastAsia="zh-CN" w:bidi="ar"/>
        </w:rPr>
        <w:t>三、《办法》主要框架和核心内容是什么？</w:t>
      </w:r>
    </w:p>
    <w:p w14:paraId="1A440C4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《办法》</w:t>
      </w:r>
      <w:r>
        <w:rPr>
          <w:rFonts w:hint="eastAsia" w:ascii="仿宋_GB2312" w:hAnsi="宋体"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共二</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十一条，分为总则、评估范围、风险分析编制、评估组织实施、评审管理、评估结果运用、附则七大板块，重点对评估范围、工作主体、报告编制、评审规则、风险等级、结果应用、回避制度、第三方机构管理作出系统性规定。</w:t>
      </w:r>
    </w:p>
    <w:p w14:paraId="75270F5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ascii="楷体_GB2312" w:hAnsi="Times New Roman" w:eastAsia="楷体_GB2312" w:cs="楷体_GB2312"/>
          <w:i w:val="0"/>
          <w:iCs w:val="0"/>
          <w:caps w:val="0"/>
          <w:color w:val="000000"/>
          <w:spacing w:val="0"/>
          <w:kern w:val="0"/>
          <w:sz w:val="32"/>
          <w:szCs w:val="32"/>
          <w:u w:val="none"/>
          <w:bdr w:val="none" w:color="auto" w:sz="0" w:space="0"/>
          <w:shd w:val="clear" w:fill="FFFFFF"/>
          <w:vertAlign w:val="baseline"/>
          <w:lang w:val="en-US" w:eastAsia="zh-CN" w:bidi="ar"/>
        </w:rPr>
        <w:t>（一）明确评估适用范围</w:t>
      </w:r>
    </w:p>
    <w:p w14:paraId="4D99ABB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i w:val="0"/>
          <w:iCs w:val="0"/>
          <w:caps w:val="0"/>
          <w:color w:val="505050"/>
          <w:spacing w:val="0"/>
          <w:sz w:val="32"/>
          <w:szCs w:val="32"/>
          <w:u w:val="none"/>
          <w:bdr w:val="none" w:color="auto" w:sz="0" w:space="0"/>
          <w:shd w:val="clear" w:fill="FFFFFF"/>
          <w:vertAlign w:val="baseline"/>
        </w:rPr>
        <w:t>《办法》第二条以列举方式明确了十一类必须开展社会稳定风险评估的重大固定资产投资项目，主要聚焦易引发社会矛盾的敏感领域：</w:t>
      </w:r>
    </w:p>
    <w:p w14:paraId="75DA6FA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b/>
          <w:bCs/>
          <w:i w:val="0"/>
          <w:iCs w:val="0"/>
          <w:caps w:val="0"/>
          <w:color w:val="505050"/>
          <w:spacing w:val="0"/>
          <w:sz w:val="32"/>
          <w:szCs w:val="32"/>
          <w:u w:val="none"/>
          <w:bdr w:val="none" w:color="auto" w:sz="0" w:space="0"/>
          <w:shd w:val="clear" w:fill="FFFFFF"/>
          <w:vertAlign w:val="baseline"/>
        </w:rPr>
        <w:t>邻避效应突出类</w:t>
      </w:r>
      <w:r>
        <w:rPr>
          <w:rFonts w:hint="eastAsia" w:ascii="仿宋_GB2312" w:hAnsi="Times New Roman" w:eastAsia="仿宋_GB2312" w:cs="仿宋_GB2312"/>
          <w:i w:val="0"/>
          <w:iCs w:val="0"/>
          <w:caps w:val="0"/>
          <w:color w:val="505050"/>
          <w:spacing w:val="0"/>
          <w:sz w:val="32"/>
          <w:szCs w:val="32"/>
          <w:u w:val="none"/>
          <w:bdr w:val="none" w:color="auto" w:sz="0" w:space="0"/>
          <w:shd w:val="clear" w:fill="FFFFFF"/>
          <w:vertAlign w:val="baseline"/>
        </w:rPr>
        <w:t>：垃圾、危险废物、医疗废物处理，传染病医院、殡葬设施等；</w:t>
      </w:r>
    </w:p>
    <w:p w14:paraId="313EE86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b/>
          <w:bCs/>
          <w:i w:val="0"/>
          <w:iCs w:val="0"/>
          <w:caps w:val="0"/>
          <w:color w:val="505050"/>
          <w:spacing w:val="0"/>
          <w:sz w:val="32"/>
          <w:szCs w:val="32"/>
          <w:u w:val="none"/>
          <w:bdr w:val="none" w:color="auto" w:sz="0" w:space="0"/>
          <w:shd w:val="clear" w:fill="FFFFFF"/>
          <w:vertAlign w:val="baseline"/>
        </w:rPr>
        <w:t>环境风险较高类</w:t>
      </w:r>
      <w:r>
        <w:rPr>
          <w:rFonts w:hint="eastAsia" w:ascii="仿宋_GB2312" w:hAnsi="Times New Roman" w:eastAsia="仿宋_GB2312" w:cs="仿宋_GB2312"/>
          <w:i w:val="0"/>
          <w:iCs w:val="0"/>
          <w:caps w:val="0"/>
          <w:color w:val="505050"/>
          <w:spacing w:val="0"/>
          <w:sz w:val="32"/>
          <w:szCs w:val="32"/>
          <w:u w:val="none"/>
          <w:bdr w:val="none" w:color="auto" w:sz="0" w:space="0"/>
          <w:shd w:val="clear" w:fill="FFFFFF"/>
          <w:vertAlign w:val="baseline"/>
        </w:rPr>
        <w:t>：化工、煤电、矿产开发、水泥生产等；</w:t>
      </w:r>
    </w:p>
    <w:p w14:paraId="7B2B8A8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b/>
          <w:bCs/>
          <w:i w:val="0"/>
          <w:iCs w:val="0"/>
          <w:caps w:val="0"/>
          <w:color w:val="505050"/>
          <w:spacing w:val="0"/>
          <w:sz w:val="32"/>
          <w:szCs w:val="32"/>
          <w:u w:val="none"/>
          <w:bdr w:val="none" w:color="auto" w:sz="0" w:space="0"/>
          <w:shd w:val="clear" w:fill="FFFFFF"/>
          <w:vertAlign w:val="baseline"/>
        </w:rPr>
        <w:t>基础设施敏感类</w:t>
      </w:r>
      <w:r>
        <w:rPr>
          <w:rFonts w:hint="eastAsia" w:ascii="仿宋_GB2312" w:hAnsi="Times New Roman" w:eastAsia="仿宋_GB2312" w:cs="仿宋_GB2312"/>
          <w:i w:val="0"/>
          <w:iCs w:val="0"/>
          <w:caps w:val="0"/>
          <w:color w:val="505050"/>
          <w:spacing w:val="0"/>
          <w:sz w:val="32"/>
          <w:szCs w:val="32"/>
          <w:u w:val="none"/>
          <w:bdr w:val="none" w:color="auto" w:sz="0" w:space="0"/>
          <w:shd w:val="clear" w:fill="FFFFFF"/>
          <w:vertAlign w:val="baseline"/>
        </w:rPr>
        <w:t>：</w:t>
      </w:r>
      <w:r>
        <w:rPr>
          <w:rFonts w:hint="default" w:ascii="Times New Roman" w:hAnsi="Times New Roman" w:eastAsia="宋体" w:cs="Times New Roman"/>
          <w:i w:val="0"/>
          <w:iCs w:val="0"/>
          <w:caps w:val="0"/>
          <w:color w:val="505050"/>
          <w:spacing w:val="0"/>
          <w:sz w:val="32"/>
          <w:szCs w:val="32"/>
          <w:u w:val="none"/>
          <w:bdr w:val="none" w:color="auto" w:sz="0" w:space="0"/>
          <w:shd w:val="clear" w:fill="FFFFFF"/>
          <w:vertAlign w:val="baseline"/>
        </w:rPr>
        <w:t>110KV</w:t>
      </w:r>
      <w:r>
        <w:rPr>
          <w:rFonts w:hint="eastAsia" w:ascii="仿宋_GB2312" w:hAnsi="Times New Roman" w:eastAsia="仿宋_GB2312" w:cs="仿宋_GB2312"/>
          <w:i w:val="0"/>
          <w:iCs w:val="0"/>
          <w:caps w:val="0"/>
          <w:color w:val="505050"/>
          <w:spacing w:val="0"/>
          <w:sz w:val="32"/>
          <w:szCs w:val="32"/>
          <w:u w:val="none"/>
          <w:bdr w:val="none" w:color="auto" w:sz="0" w:space="0"/>
          <w:shd w:val="clear" w:fill="FFFFFF"/>
          <w:vertAlign w:val="baseline"/>
        </w:rPr>
        <w:t>及以上输变电、通信发射、供油供气管网等；</w:t>
      </w:r>
    </w:p>
    <w:p w14:paraId="6FD6D86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b/>
          <w:bCs/>
          <w:i w:val="0"/>
          <w:iCs w:val="0"/>
          <w:caps w:val="0"/>
          <w:color w:val="505050"/>
          <w:spacing w:val="0"/>
          <w:sz w:val="32"/>
          <w:szCs w:val="32"/>
          <w:u w:val="none"/>
          <w:bdr w:val="none" w:color="auto" w:sz="0" w:space="0"/>
          <w:shd w:val="clear" w:fill="FFFFFF"/>
          <w:vertAlign w:val="baseline"/>
        </w:rPr>
        <w:t>征拆影响较大类</w:t>
      </w:r>
      <w:r>
        <w:rPr>
          <w:rFonts w:hint="eastAsia" w:ascii="仿宋_GB2312" w:hAnsi="Times New Roman" w:eastAsia="仿宋_GB2312" w:cs="仿宋_GB2312"/>
          <w:i w:val="0"/>
          <w:iCs w:val="0"/>
          <w:caps w:val="0"/>
          <w:color w:val="505050"/>
          <w:spacing w:val="0"/>
          <w:sz w:val="32"/>
          <w:szCs w:val="32"/>
          <w:u w:val="none"/>
          <w:bdr w:val="none" w:color="auto" w:sz="0" w:space="0"/>
          <w:shd w:val="clear" w:fill="FFFFFF"/>
          <w:vertAlign w:val="baseline"/>
        </w:rPr>
        <w:t>：机场、铁路、公路、城市轨道交通、重大引配水工程等；</w:t>
      </w:r>
    </w:p>
    <w:p w14:paraId="0BE8DD3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b/>
          <w:bCs/>
          <w:i w:val="0"/>
          <w:iCs w:val="0"/>
          <w:caps w:val="0"/>
          <w:color w:val="505050"/>
          <w:spacing w:val="0"/>
          <w:sz w:val="32"/>
          <w:szCs w:val="32"/>
          <w:u w:val="none"/>
          <w:bdr w:val="none" w:color="auto" w:sz="0" w:space="0"/>
          <w:shd w:val="clear" w:fill="FFFFFF"/>
          <w:vertAlign w:val="baseline"/>
        </w:rPr>
        <w:t>特殊情形类</w:t>
      </w:r>
      <w:r>
        <w:rPr>
          <w:rFonts w:hint="eastAsia" w:ascii="仿宋_GB2312" w:hAnsi="Times New Roman" w:eastAsia="仿宋_GB2312" w:cs="仿宋_GB2312"/>
          <w:i w:val="0"/>
          <w:iCs w:val="0"/>
          <w:caps w:val="0"/>
          <w:color w:val="505050"/>
          <w:spacing w:val="0"/>
          <w:sz w:val="32"/>
          <w:szCs w:val="32"/>
          <w:u w:val="none"/>
          <w:bdr w:val="none" w:color="auto" w:sz="0" w:space="0"/>
          <w:shd w:val="clear" w:fill="FFFFFF"/>
          <w:vertAlign w:val="baseline"/>
        </w:rPr>
        <w:t>：灾后重建项目及其他易引发大规模集体上访的民生公益项目。</w:t>
      </w:r>
    </w:p>
    <w:p w14:paraId="77A7CF5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i w:val="0"/>
          <w:iCs w:val="0"/>
          <w:caps w:val="0"/>
          <w:color w:val="505050"/>
          <w:spacing w:val="0"/>
          <w:sz w:val="32"/>
          <w:szCs w:val="32"/>
          <w:u w:val="none"/>
          <w:bdr w:val="none" w:color="auto" w:sz="0" w:space="0"/>
          <w:shd w:val="clear" w:fill="FFFFFF"/>
          <w:vertAlign w:val="baseline"/>
        </w:rPr>
        <w:t>上述范围既与国家稳评要求衔接，又结合新疆实际突出了重点领域，确保风险防控有的放矢。</w:t>
      </w:r>
    </w:p>
    <w:p w14:paraId="2B152FF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办法》划定需要开展社会稳定风险分析与评估的项目类型，重点覆盖征地拆迁规模大、涉及群众切身利益、生态环境敏感、民族宗教因素复杂、容易引发社会矛盾的重大固定资产投资项目。铁路、公路、机场等征地拆迁范围较大的敏感项目，可单独编制社会稳定风险分析报告；其他项目将社会稳定风险分析作为可行性研究报告、项目申请报告独立成章，不单独成册。</w:t>
      </w:r>
    </w:p>
    <w:p w14:paraId="30C59D9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楷体_GB2312" w:hAnsi="Times New Roman" w:eastAsia="楷体_GB2312" w:cs="楷体_GB2312"/>
          <w:i w:val="0"/>
          <w:iCs w:val="0"/>
          <w:caps w:val="0"/>
          <w:color w:val="000000"/>
          <w:spacing w:val="0"/>
          <w:kern w:val="0"/>
          <w:sz w:val="32"/>
          <w:szCs w:val="32"/>
          <w:u w:val="none"/>
          <w:bdr w:val="none" w:color="auto" w:sz="0" w:space="0"/>
          <w:shd w:val="clear" w:fill="FFFFFF"/>
          <w:vertAlign w:val="baseline"/>
          <w:lang w:val="en-US" w:eastAsia="zh-CN" w:bidi="ar"/>
        </w:rPr>
        <w:t>（二）厘清各方工作责任</w:t>
      </w:r>
    </w:p>
    <w:p w14:paraId="6FCC616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b/>
          <w:bCs/>
          <w:i w:val="0"/>
          <w:iCs w:val="0"/>
          <w:caps w:val="0"/>
          <w:color w:val="000000"/>
          <w:spacing w:val="0"/>
          <w:sz w:val="32"/>
          <w:szCs w:val="32"/>
          <w:u w:val="none"/>
          <w:bdr w:val="none" w:color="auto" w:sz="0" w:space="0"/>
          <w:shd w:val="clear" w:fill="FFFFFF"/>
          <w:vertAlign w:val="baseline"/>
        </w:rPr>
        <w:t>一是项目单位，</w:t>
      </w:r>
      <w:r>
        <w:rPr>
          <w:rFonts w:hint="eastAsia" w:ascii="仿宋_GB2312" w:hAnsi="Times New Roman" w:eastAsia="仿宋_GB2312" w:cs="仿宋_GB2312"/>
          <w:i w:val="0"/>
          <w:iCs w:val="0"/>
          <w:caps w:val="0"/>
          <w:color w:val="505050"/>
          <w:spacing w:val="0"/>
          <w:sz w:val="32"/>
          <w:szCs w:val="32"/>
          <w:u w:val="none"/>
          <w:bdr w:val="none" w:color="auto" w:sz="0" w:space="0"/>
          <w:shd w:val="clear" w:fill="FFFFFF"/>
          <w:vertAlign w:val="baseline"/>
        </w:rPr>
        <w:t>在组织编制可行性研究报告、项目申请报告时，须同步编制社会稳定风险分析篇章并单独成章；对征地拆迁范围大或特别敏感的项目，可单独编制分析报告。编制依据参照国家发改委</w:t>
      </w:r>
      <w:r>
        <w:rPr>
          <w:rFonts w:hint="default" w:ascii="Times New Roman" w:hAnsi="Times New Roman" w:eastAsia="宋体" w:cs="Times New Roman"/>
          <w:i w:val="0"/>
          <w:iCs w:val="0"/>
          <w:caps w:val="0"/>
          <w:color w:val="505050"/>
          <w:spacing w:val="0"/>
          <w:sz w:val="32"/>
          <w:szCs w:val="32"/>
          <w:u w:val="none"/>
          <w:bdr w:val="none" w:color="auto" w:sz="0" w:space="0"/>
          <w:shd w:val="clear" w:fill="FFFFFF"/>
          <w:vertAlign w:val="baseline"/>
        </w:rPr>
        <w:t>428</w:t>
      </w:r>
      <w:r>
        <w:rPr>
          <w:rFonts w:hint="eastAsia" w:ascii="仿宋_GB2312" w:hAnsi="Times New Roman" w:eastAsia="仿宋_GB2312" w:cs="仿宋_GB2312"/>
          <w:i w:val="0"/>
          <w:iCs w:val="0"/>
          <w:caps w:val="0"/>
          <w:color w:val="505050"/>
          <w:spacing w:val="0"/>
          <w:sz w:val="32"/>
          <w:szCs w:val="32"/>
          <w:u w:val="none"/>
          <w:bdr w:val="none" w:color="auto" w:sz="0" w:space="0"/>
          <w:shd w:val="clear" w:fill="FFFFFF"/>
          <w:vertAlign w:val="baseline"/>
        </w:rPr>
        <w:t>号文相关大纲要求，确保分析内容规范、要素齐全。</w:t>
      </w:r>
      <w:r>
        <w:rPr>
          <w:rFonts w:hint="eastAsia" w:ascii="仿宋_GB2312" w:hAnsi="Times New Roman" w:eastAsia="仿宋_GB2312" w:cs="仿宋_GB2312"/>
          <w:i w:val="0"/>
          <w:iCs w:val="0"/>
          <w:caps w:val="0"/>
          <w:color w:val="000000"/>
          <w:spacing w:val="0"/>
          <w:sz w:val="32"/>
          <w:szCs w:val="32"/>
          <w:u w:val="none"/>
          <w:bdr w:val="none" w:color="auto" w:sz="0" w:space="0"/>
          <w:shd w:val="clear" w:fill="FFFFFF"/>
          <w:vertAlign w:val="baseline"/>
        </w:rPr>
        <w:t>负责开展社会稳定风险调查分析，广泛征求受影响群众意见，编制社会稳定风险分析篇章（报告），梳理风险点，提出风险防范化解措施以及风险等级建议。</w:t>
      </w:r>
    </w:p>
    <w:p w14:paraId="718E95D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left"/>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b/>
          <w:bCs/>
          <w:i w:val="0"/>
          <w:iCs w:val="0"/>
          <w:caps w:val="0"/>
          <w:color w:val="000000"/>
          <w:spacing w:val="0"/>
          <w:sz w:val="32"/>
          <w:szCs w:val="32"/>
          <w:u w:val="none"/>
          <w:bdr w:val="none" w:color="auto" w:sz="0" w:space="0"/>
          <w:shd w:val="clear" w:fill="FFFFFF"/>
          <w:vertAlign w:val="baseline"/>
        </w:rPr>
        <w:t>二是评估主体，</w:t>
      </w:r>
      <w:r>
        <w:rPr>
          <w:rFonts w:hint="eastAsia" w:ascii="仿宋_GB2312" w:hAnsi="Times New Roman" w:eastAsia="仿宋_GB2312" w:cs="仿宋_GB2312"/>
          <w:i w:val="0"/>
          <w:iCs w:val="0"/>
          <w:caps w:val="0"/>
          <w:color w:val="505050"/>
          <w:spacing w:val="0"/>
          <w:sz w:val="32"/>
          <w:szCs w:val="32"/>
          <w:u w:val="none"/>
          <w:bdr w:val="none" w:color="auto" w:sz="0" w:space="0"/>
          <w:shd w:val="clear" w:fill="FFFFFF"/>
          <w:vertAlign w:val="baseline"/>
        </w:rPr>
        <w:t>坚持</w:t>
      </w:r>
      <w:r>
        <w:rPr>
          <w:rFonts w:hint="default" w:ascii="Times New Roman" w:hAnsi="Times New Roman" w:eastAsia="宋体" w:cs="Times New Roman"/>
          <w:i w:val="0"/>
          <w:iCs w:val="0"/>
          <w:caps w:val="0"/>
          <w:color w:val="505050"/>
          <w:spacing w:val="0"/>
          <w:sz w:val="32"/>
          <w:szCs w:val="32"/>
          <w:u w:val="none"/>
          <w:bdr w:val="none" w:color="auto" w:sz="0" w:space="0"/>
          <w:shd w:val="clear" w:fill="FFFFFF"/>
          <w:vertAlign w:val="baseline"/>
        </w:rPr>
        <w:t>“</w:t>
      </w:r>
      <w:r>
        <w:rPr>
          <w:rFonts w:hint="eastAsia" w:ascii="仿宋_GB2312" w:hAnsi="Times New Roman" w:eastAsia="仿宋_GB2312" w:cs="仿宋_GB2312"/>
          <w:i w:val="0"/>
          <w:iCs w:val="0"/>
          <w:caps w:val="0"/>
          <w:color w:val="505050"/>
          <w:spacing w:val="0"/>
          <w:sz w:val="32"/>
          <w:szCs w:val="32"/>
          <w:u w:val="none"/>
          <w:bdr w:val="none" w:color="auto" w:sz="0" w:space="0"/>
          <w:shd w:val="clear" w:fill="FFFFFF"/>
          <w:vertAlign w:val="baseline"/>
        </w:rPr>
        <w:t>谁决策、谁评估</w:t>
      </w:r>
      <w:r>
        <w:rPr>
          <w:rFonts w:hint="default" w:ascii="Times New Roman" w:hAnsi="Times New Roman" w:eastAsia="宋体" w:cs="Times New Roman"/>
          <w:i w:val="0"/>
          <w:iCs w:val="0"/>
          <w:caps w:val="0"/>
          <w:color w:val="505050"/>
          <w:spacing w:val="0"/>
          <w:sz w:val="32"/>
          <w:szCs w:val="32"/>
          <w:u w:val="none"/>
          <w:bdr w:val="none" w:color="auto" w:sz="0" w:space="0"/>
          <w:shd w:val="clear" w:fill="FFFFFF"/>
          <w:vertAlign w:val="baseline"/>
        </w:rPr>
        <w:t>”</w:t>
      </w:r>
      <w:r>
        <w:rPr>
          <w:rFonts w:hint="eastAsia" w:ascii="仿宋_GB2312" w:hAnsi="Times New Roman" w:eastAsia="仿宋_GB2312" w:cs="仿宋_GB2312"/>
          <w:i w:val="0"/>
          <w:iCs w:val="0"/>
          <w:caps w:val="0"/>
          <w:color w:val="505050"/>
          <w:spacing w:val="0"/>
          <w:sz w:val="32"/>
          <w:szCs w:val="32"/>
          <w:u w:val="none"/>
          <w:bdr w:val="none" w:color="auto" w:sz="0" w:space="0"/>
          <w:shd w:val="clear" w:fill="FFFFFF"/>
          <w:vertAlign w:val="baseline"/>
        </w:rPr>
        <w:t>与属地管理相结合。一般由项目所在地人民政府或其指定部门作为评估主体；上级事权项目由上级决策部门与所在地政府共同评估。须制定工作方案，通过公示、问卷、走访、座谈、听证等方式广泛听取意见，对</w:t>
      </w:r>
      <w:r>
        <w:rPr>
          <w:rFonts w:hint="eastAsia" w:ascii="仿宋_GB2312" w:hAnsi="Times New Roman" w:eastAsia="仿宋_GB2312" w:cs="仿宋_GB2312"/>
          <w:i w:val="0"/>
          <w:iCs w:val="0"/>
          <w:caps w:val="0"/>
          <w:color w:val="000000"/>
          <w:spacing w:val="0"/>
          <w:sz w:val="32"/>
          <w:szCs w:val="32"/>
          <w:u w:val="none"/>
          <w:bdr w:val="none" w:color="auto" w:sz="0" w:space="0"/>
          <w:shd w:val="clear" w:fill="FFFFFF"/>
          <w:vertAlign w:val="baseline"/>
        </w:rPr>
        <w:t>评估报告真实性、</w:t>
      </w:r>
      <w:r>
        <w:rPr>
          <w:rFonts w:hint="eastAsia" w:ascii="仿宋_GB2312" w:hAnsi="Times New Roman" w:eastAsia="仿宋_GB2312" w:cs="仿宋_GB2312"/>
          <w:i w:val="0"/>
          <w:iCs w:val="0"/>
          <w:caps w:val="0"/>
          <w:color w:val="505050"/>
          <w:spacing w:val="0"/>
          <w:sz w:val="32"/>
          <w:szCs w:val="32"/>
          <w:u w:val="none"/>
          <w:bdr w:val="none" w:color="auto" w:sz="0" w:space="0"/>
          <w:shd w:val="clear" w:fill="FFFFFF"/>
          <w:vertAlign w:val="baseline"/>
        </w:rPr>
        <w:t>评估过程和结果负责。</w:t>
      </w:r>
    </w:p>
    <w:p w14:paraId="6FF1A23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3"/>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b/>
          <w:bCs/>
          <w:i w:val="0"/>
          <w:iCs w:val="0"/>
          <w:caps w:val="0"/>
          <w:color w:val="000000"/>
          <w:spacing w:val="0"/>
          <w:kern w:val="0"/>
          <w:sz w:val="32"/>
          <w:szCs w:val="32"/>
          <w:u w:val="none"/>
          <w:bdr w:val="none" w:color="auto" w:sz="0" w:space="0"/>
          <w:shd w:val="clear" w:fill="FFFFFF"/>
          <w:vertAlign w:val="baseline"/>
          <w:lang w:val="en-US" w:eastAsia="zh-CN" w:bidi="ar"/>
        </w:rPr>
        <w:t>三是评审专家组，</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实行编审分离原则，评审专家由党政部门代表、法律顾问、稳评专家库成员组成，评审参会人员为单数，不少于</w:t>
      </w:r>
      <w:r>
        <w:rPr>
          <w:rFonts w:hint="default" w:ascii="Times New Roman" w:hAnsi="Times New Roman" w:eastAsia="宋体" w:cs="Times New Roman"/>
          <w:i w:val="0"/>
          <w:iCs w:val="0"/>
          <w:caps w:val="0"/>
          <w:color w:val="000000"/>
          <w:spacing w:val="0"/>
          <w:kern w:val="0"/>
          <w:sz w:val="32"/>
          <w:szCs w:val="32"/>
          <w:u w:val="none"/>
          <w:bdr w:val="none" w:color="auto" w:sz="0" w:space="0"/>
          <w:shd w:val="clear" w:fill="FFFFFF"/>
          <w:vertAlign w:val="baseline"/>
          <w:lang w:val="en-US" w:eastAsia="zh-CN" w:bidi="ar"/>
        </w:rPr>
        <w:t>7</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人，</w:t>
      </w:r>
      <w:r>
        <w:rPr>
          <w:rFonts w:hint="eastAsia" w:ascii="仿宋_GB2312" w:hAnsi="Times New Roman" w:eastAsia="仿宋_GB2312" w:cs="仿宋_GB2312"/>
          <w:i w:val="0"/>
          <w:iCs w:val="0"/>
          <w:caps w:val="0"/>
          <w:color w:val="505050"/>
          <w:spacing w:val="0"/>
          <w:kern w:val="0"/>
          <w:sz w:val="32"/>
          <w:szCs w:val="32"/>
          <w:u w:val="none"/>
          <w:bdr w:val="none" w:color="auto" w:sz="0" w:space="0"/>
          <w:shd w:val="clear" w:fill="FFFFFF"/>
          <w:vertAlign w:val="baseline"/>
          <w:lang w:val="en-US" w:eastAsia="zh-CN" w:bidi="ar"/>
        </w:rPr>
        <w:t>实行利益回避制度。除涉密事项外，可委托有资质的第三方机构开展评估，但严禁</w:t>
      </w:r>
      <w:r>
        <w:rPr>
          <w:rFonts w:hint="default" w:ascii="Times New Roman" w:hAnsi="Times New Roman" w:eastAsia="宋体" w:cs="Times New Roman"/>
          <w:i w:val="0"/>
          <w:iCs w:val="0"/>
          <w:caps w:val="0"/>
          <w:color w:val="505050"/>
          <w:spacing w:val="0"/>
          <w:kern w:val="0"/>
          <w:sz w:val="32"/>
          <w:szCs w:val="32"/>
          <w:u w:val="none"/>
          <w:bdr w:val="none" w:color="auto" w:sz="0" w:space="0"/>
          <w:shd w:val="clear" w:fill="FFFFFF"/>
          <w:vertAlign w:val="baseline"/>
          <w:lang w:val="en-US" w:eastAsia="zh-CN" w:bidi="ar"/>
        </w:rPr>
        <w:t>“</w:t>
      </w:r>
      <w:r>
        <w:rPr>
          <w:rFonts w:hint="eastAsia" w:ascii="仿宋_GB2312" w:hAnsi="Times New Roman" w:eastAsia="仿宋_GB2312" w:cs="仿宋_GB2312"/>
          <w:i w:val="0"/>
          <w:iCs w:val="0"/>
          <w:caps w:val="0"/>
          <w:color w:val="505050"/>
          <w:spacing w:val="0"/>
          <w:kern w:val="0"/>
          <w:sz w:val="32"/>
          <w:szCs w:val="32"/>
          <w:u w:val="none"/>
          <w:bdr w:val="none" w:color="auto" w:sz="0" w:space="0"/>
          <w:shd w:val="clear" w:fill="FFFFFF"/>
          <w:vertAlign w:val="baseline"/>
          <w:lang w:val="en-US" w:eastAsia="zh-CN" w:bidi="ar"/>
        </w:rPr>
        <w:t>编评一体</w:t>
      </w:r>
      <w:r>
        <w:rPr>
          <w:rFonts w:hint="default" w:ascii="Times New Roman" w:hAnsi="Times New Roman" w:eastAsia="宋体" w:cs="Times New Roman"/>
          <w:i w:val="0"/>
          <w:iCs w:val="0"/>
          <w:caps w:val="0"/>
          <w:color w:val="505050"/>
          <w:spacing w:val="0"/>
          <w:kern w:val="0"/>
          <w:sz w:val="32"/>
          <w:szCs w:val="32"/>
          <w:u w:val="none"/>
          <w:bdr w:val="none" w:color="auto" w:sz="0" w:space="0"/>
          <w:shd w:val="clear" w:fill="FFFFFF"/>
          <w:vertAlign w:val="baseline"/>
          <w:lang w:val="en-US" w:eastAsia="zh-CN" w:bidi="ar"/>
        </w:rPr>
        <w:t>”</w:t>
      </w:r>
      <w:r>
        <w:rPr>
          <w:rFonts w:hint="eastAsia" w:ascii="仿宋_GB2312" w:hAnsi="Times New Roman" w:eastAsia="仿宋_GB2312" w:cs="仿宋_GB2312"/>
          <w:i w:val="0"/>
          <w:iCs w:val="0"/>
          <w:caps w:val="0"/>
          <w:color w:val="505050"/>
          <w:spacing w:val="0"/>
          <w:kern w:val="0"/>
          <w:sz w:val="32"/>
          <w:szCs w:val="32"/>
          <w:u w:val="none"/>
          <w:bdr w:val="none" w:color="auto" w:sz="0" w:space="0"/>
          <w:shd w:val="clear" w:fill="FFFFFF"/>
          <w:vertAlign w:val="baseline"/>
          <w:lang w:val="en-US" w:eastAsia="zh-CN" w:bidi="ar"/>
        </w:rPr>
        <w:t>。</w:t>
      </w:r>
    </w:p>
    <w:p w14:paraId="467F453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3"/>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b/>
          <w:bCs/>
          <w:i w:val="0"/>
          <w:iCs w:val="0"/>
          <w:caps w:val="0"/>
          <w:color w:val="000000"/>
          <w:spacing w:val="0"/>
          <w:kern w:val="0"/>
          <w:sz w:val="32"/>
          <w:szCs w:val="32"/>
          <w:u w:val="none"/>
          <w:bdr w:val="none" w:color="auto" w:sz="0" w:space="0"/>
          <w:shd w:val="clear" w:fill="FFFFFF"/>
          <w:vertAlign w:val="baseline"/>
          <w:lang w:val="en-US" w:eastAsia="zh-CN" w:bidi="ar"/>
        </w:rPr>
        <w:t>四是第三方机构，</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受托开展评估论证的第三方机构，不得与编制可研、项目申请报告的咨询机构为同一单位，规避利益冲突。</w:t>
      </w:r>
    </w:p>
    <w:p w14:paraId="479082B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楷体_GB2312" w:hAnsi="Times New Roman" w:eastAsia="楷体_GB2312" w:cs="楷体_GB2312"/>
          <w:i w:val="0"/>
          <w:iCs w:val="0"/>
          <w:caps w:val="0"/>
          <w:color w:val="000000"/>
          <w:spacing w:val="0"/>
          <w:kern w:val="0"/>
          <w:sz w:val="32"/>
          <w:szCs w:val="32"/>
          <w:u w:val="none"/>
          <w:bdr w:val="none" w:color="auto" w:sz="0" w:space="0"/>
          <w:shd w:val="clear" w:fill="FFFFFF"/>
          <w:vertAlign w:val="baseline"/>
          <w:lang w:val="en-US" w:eastAsia="zh-CN" w:bidi="ar"/>
        </w:rPr>
        <w:t>（三）规范风险评估工作流程</w:t>
      </w:r>
    </w:p>
    <w:p w14:paraId="1BC84DC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完整工作流程主要包含：制定评估工作方案、开展实地调研走访、多渠道征求利益相关方意见、识别研判各类风险点、拟定风险防范化解措施及应急预案、组织专家集体评审、形成正式社会稳定风险评估报告。</w:t>
      </w:r>
    </w:p>
    <w:p w14:paraId="76D7710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征求意见可综合采取公示、问卷调查、实地走访、座谈会、听证会等多种形式，充分听取项目所在地群众、基层单位、相关部门意见建议，保障群众知情权、参与权。</w:t>
      </w:r>
    </w:p>
    <w:p w14:paraId="07C2C55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i w:val="0"/>
          <w:iCs w:val="0"/>
          <w:caps w:val="0"/>
          <w:color w:val="505050"/>
          <w:spacing w:val="0"/>
          <w:kern w:val="0"/>
          <w:sz w:val="32"/>
          <w:szCs w:val="32"/>
          <w:u w:val="none"/>
          <w:bdr w:val="none" w:color="auto" w:sz="0" w:space="0"/>
          <w:shd w:val="clear" w:fill="FFFFFF"/>
          <w:vertAlign w:val="baseline"/>
          <w:lang w:val="en-US" w:eastAsia="zh-CN" w:bidi="ar"/>
        </w:rPr>
        <w:t>评估报告须在审批核准前报送同级党委政法委备案，备案后方可履行后续手续。</w:t>
      </w:r>
    </w:p>
    <w:p w14:paraId="22D795D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楷体_GB2312" w:hAnsi="Times New Roman" w:eastAsia="楷体_GB2312" w:cs="楷体_GB2312"/>
          <w:i w:val="0"/>
          <w:iCs w:val="0"/>
          <w:caps w:val="0"/>
          <w:color w:val="000000"/>
          <w:spacing w:val="0"/>
          <w:kern w:val="0"/>
          <w:sz w:val="32"/>
          <w:szCs w:val="32"/>
          <w:u w:val="none"/>
          <w:bdr w:val="none" w:color="auto" w:sz="0" w:space="0"/>
          <w:shd w:val="clear" w:fill="FFFFFF"/>
          <w:vertAlign w:val="baseline"/>
          <w:lang w:val="en-US" w:eastAsia="zh-CN" w:bidi="ar"/>
        </w:rPr>
        <w:t>（四）统一风险等级划分标准</w:t>
      </w:r>
    </w:p>
    <w:p w14:paraId="224321E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参照国家制度规范，将项目社会稳定风险划分为高风险、中风险、低风险三个等级：</w:t>
      </w:r>
    </w:p>
    <w:p w14:paraId="61BFC94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3"/>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b/>
          <w:bCs/>
          <w:i w:val="0"/>
          <w:iCs w:val="0"/>
          <w:caps w:val="0"/>
          <w:color w:val="000000"/>
          <w:spacing w:val="0"/>
          <w:kern w:val="0"/>
          <w:sz w:val="32"/>
          <w:szCs w:val="32"/>
          <w:u w:val="none"/>
          <w:bdr w:val="none" w:color="auto" w:sz="0" w:space="0"/>
          <w:shd w:val="clear" w:fill="FFFFFF"/>
          <w:vertAlign w:val="baseline"/>
          <w:lang w:val="en-US" w:eastAsia="zh-CN" w:bidi="ar"/>
        </w:rPr>
        <w:t>高风险：</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大部分群众对项目有意见、反应强烈，有可能引发大规模群体性事件；</w:t>
      </w:r>
    </w:p>
    <w:p w14:paraId="3BD7C3C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3"/>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b/>
          <w:bCs/>
          <w:i w:val="0"/>
          <w:iCs w:val="0"/>
          <w:caps w:val="0"/>
          <w:color w:val="000000"/>
          <w:spacing w:val="0"/>
          <w:kern w:val="0"/>
          <w:sz w:val="32"/>
          <w:szCs w:val="32"/>
          <w:u w:val="none"/>
          <w:bdr w:val="none" w:color="auto" w:sz="0" w:space="0"/>
          <w:shd w:val="clear" w:fill="FFFFFF"/>
          <w:vertAlign w:val="baseline"/>
          <w:lang w:val="en-US" w:eastAsia="zh-CN" w:bidi="ar"/>
        </w:rPr>
        <w:t>中风险：</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部分群众对项目存在意见，反应较为强烈，有可能引发矛盾冲突；</w:t>
      </w:r>
    </w:p>
    <w:p w14:paraId="4F25914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3"/>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b/>
          <w:bCs/>
          <w:i w:val="0"/>
          <w:iCs w:val="0"/>
          <w:caps w:val="0"/>
          <w:color w:val="000000"/>
          <w:spacing w:val="0"/>
          <w:kern w:val="0"/>
          <w:sz w:val="32"/>
          <w:szCs w:val="32"/>
          <w:u w:val="none"/>
          <w:bdr w:val="none" w:color="auto" w:sz="0" w:space="0"/>
          <w:shd w:val="clear" w:fill="FFFFFF"/>
          <w:vertAlign w:val="baseline"/>
          <w:lang w:val="en-US" w:eastAsia="zh-CN" w:bidi="ar"/>
        </w:rPr>
        <w:t>低风险：</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多数群众理解支持项目，仅少部分群众存在不同意见，落实防控措施后矛盾可以有效防范化解</w:t>
      </w:r>
      <w:r>
        <w:rPr>
          <w:rFonts w:hint="default" w:ascii="Times New Roman" w:hAnsi="Times New Roman" w:eastAsia="宋体" w:cs="Times New Roman"/>
          <w:i w:val="0"/>
          <w:iCs w:val="0"/>
          <w:caps w:val="0"/>
          <w:color w:val="000000"/>
          <w:spacing w:val="0"/>
          <w:kern w:val="0"/>
          <w:sz w:val="32"/>
          <w:szCs w:val="32"/>
          <w:u w:val="none"/>
          <w:bdr w:val="none" w:color="auto" w:sz="0" w:space="0"/>
          <w:shd w:val="clear" w:fill="FFFFFF"/>
          <w:vertAlign w:val="baseline"/>
          <w:lang w:val="en-US" w:eastAsia="zh-CN" w:bidi="ar"/>
        </w:rPr>
        <w:t xml:space="preserve"> </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w:t>
      </w:r>
    </w:p>
    <w:p w14:paraId="2A61FC3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楷体_GB2312" w:hAnsi="Times New Roman" w:eastAsia="楷体_GB2312" w:cs="楷体_GB2312"/>
          <w:i w:val="0"/>
          <w:iCs w:val="0"/>
          <w:caps w:val="0"/>
          <w:color w:val="000000"/>
          <w:spacing w:val="0"/>
          <w:kern w:val="0"/>
          <w:sz w:val="32"/>
          <w:szCs w:val="32"/>
          <w:u w:val="none"/>
          <w:bdr w:val="none" w:color="auto" w:sz="0" w:space="0"/>
          <w:shd w:val="clear" w:fill="FFFFFF"/>
          <w:vertAlign w:val="baseline"/>
          <w:lang w:val="en-US" w:eastAsia="zh-CN" w:bidi="ar"/>
        </w:rPr>
        <w:t>（五）强化评估结果刚性运用</w:t>
      </w:r>
    </w:p>
    <w:p w14:paraId="5F24A32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社会稳定风险评估报告是自治区</w:t>
      </w:r>
      <w:r>
        <w:rPr>
          <w:rFonts w:hint="eastAsia" w:ascii="仿宋_GB2312" w:hAnsi="宋体"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发展改革委</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审批、核准重大项目的重要依据。</w:t>
      </w:r>
    </w:p>
    <w:p w14:paraId="7D0D826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评估判定为高风险、中风险的项目，不予审批、核准；</w:t>
      </w:r>
    </w:p>
    <w:p w14:paraId="3D21D3A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评估为低风险的项目，在各项风险防范化解措施、应急处置预案完备可行前提下，可以予以审批、核准，批复文件中明确属地、项目单位落实风险防控工作要求；</w:t>
      </w:r>
    </w:p>
    <w:p w14:paraId="5E715F0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项目实施过程中，如果发生重大政策调整、建设方案重大变更，需要重新开展社会稳定风险分析评估。</w:t>
      </w:r>
    </w:p>
    <w:p w14:paraId="08EBFD2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黑体" w:hAnsi="宋体" w:eastAsia="黑体" w:cs="黑体"/>
          <w:i w:val="0"/>
          <w:iCs w:val="0"/>
          <w:caps w:val="0"/>
          <w:color w:val="000000"/>
          <w:spacing w:val="0"/>
          <w:kern w:val="0"/>
          <w:sz w:val="32"/>
          <w:szCs w:val="32"/>
          <w:u w:val="none"/>
          <w:bdr w:val="none" w:color="auto" w:sz="0" w:space="0"/>
          <w:shd w:val="clear" w:fill="FFFFFF"/>
          <w:vertAlign w:val="baseline"/>
          <w:lang w:val="en-US" w:eastAsia="zh-CN" w:bidi="ar"/>
        </w:rPr>
        <w:t>四、本次修订重点完善了哪些制度？</w:t>
      </w:r>
    </w:p>
    <w:p w14:paraId="74B8D86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3"/>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b/>
          <w:bCs/>
          <w:i w:val="0"/>
          <w:iCs w:val="0"/>
          <w:caps w:val="0"/>
          <w:color w:val="000000"/>
          <w:spacing w:val="0"/>
          <w:kern w:val="0"/>
          <w:sz w:val="32"/>
          <w:szCs w:val="32"/>
          <w:u w:val="none"/>
          <w:bdr w:val="none" w:color="auto" w:sz="0" w:space="0"/>
          <w:shd w:val="clear" w:fill="FFFFFF"/>
          <w:vertAlign w:val="baseline"/>
          <w:lang w:val="en-US" w:eastAsia="zh-CN" w:bidi="ar"/>
        </w:rPr>
        <w:t>一是</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落实编审分离、专家回避制度，明确专家组人员数量、人员构成、回避情形，强化评审独立性，防止编制与评估工作同一主体操作带来的公正性问题。</w:t>
      </w:r>
    </w:p>
    <w:p w14:paraId="1DAD16F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3"/>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b/>
          <w:bCs/>
          <w:i w:val="0"/>
          <w:iCs w:val="0"/>
          <w:caps w:val="0"/>
          <w:color w:val="000000"/>
          <w:spacing w:val="0"/>
          <w:kern w:val="0"/>
          <w:sz w:val="32"/>
          <w:szCs w:val="32"/>
          <w:u w:val="none"/>
          <w:bdr w:val="none" w:color="auto" w:sz="0" w:space="0"/>
          <w:shd w:val="clear" w:fill="FFFFFF"/>
          <w:vertAlign w:val="baseline"/>
          <w:lang w:val="en-US" w:eastAsia="zh-CN" w:bidi="ar"/>
        </w:rPr>
        <w:t>二是</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细化第三方机构管理，对受托评估机构的资质、利益回避、工作责任作出约束。</w:t>
      </w:r>
    </w:p>
    <w:p w14:paraId="5D1D77C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3"/>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b/>
          <w:bCs/>
          <w:i w:val="0"/>
          <w:iCs w:val="0"/>
          <w:caps w:val="0"/>
          <w:color w:val="000000"/>
          <w:spacing w:val="0"/>
          <w:kern w:val="0"/>
          <w:sz w:val="32"/>
          <w:szCs w:val="32"/>
          <w:u w:val="none"/>
          <w:bdr w:val="none" w:color="auto" w:sz="0" w:space="0"/>
          <w:shd w:val="clear" w:fill="FFFFFF"/>
          <w:vertAlign w:val="baseline"/>
          <w:lang w:val="en-US" w:eastAsia="zh-CN" w:bidi="ar"/>
        </w:rPr>
        <w:t>三是</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压实属地、项目单位风险管控责任，明确项目批复之后，地方相关部门持续跟踪项目实施阶段风险变化，动态落实化解措施。</w:t>
      </w:r>
    </w:p>
    <w:p w14:paraId="53AEC46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3"/>
        <w:jc w:val="both"/>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b/>
          <w:bCs/>
          <w:i w:val="0"/>
          <w:iCs w:val="0"/>
          <w:caps w:val="0"/>
          <w:color w:val="000000"/>
          <w:spacing w:val="0"/>
          <w:kern w:val="0"/>
          <w:sz w:val="32"/>
          <w:szCs w:val="32"/>
          <w:u w:val="none"/>
          <w:bdr w:val="none" w:color="auto" w:sz="0" w:space="0"/>
          <w:shd w:val="clear" w:fill="FFFFFF"/>
          <w:vertAlign w:val="baseline"/>
          <w:lang w:val="en-US" w:eastAsia="zh-CN" w:bidi="ar"/>
        </w:rPr>
        <w:t>四是</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完善项目变更后重新评估规则，避免项目建设方案发生重大变化后风险评估流于形式。</w:t>
      </w:r>
    </w:p>
    <w:p w14:paraId="0592DE6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黑体" w:hAnsi="宋体" w:eastAsia="黑体" w:cs="黑体"/>
          <w:i w:val="0"/>
          <w:iCs w:val="0"/>
          <w:caps w:val="0"/>
          <w:color w:val="000000"/>
          <w:spacing w:val="0"/>
          <w:kern w:val="0"/>
          <w:sz w:val="32"/>
          <w:szCs w:val="32"/>
          <w:u w:val="none"/>
          <w:bdr w:val="none" w:color="auto" w:sz="0" w:space="0"/>
          <w:shd w:val="clear" w:fill="FFFFFF"/>
          <w:vertAlign w:val="baseline"/>
          <w:lang w:val="en-US" w:eastAsia="zh-CN" w:bidi="ar"/>
        </w:rPr>
        <w:t>五、《办法》实施有哪些工作要求？</w:t>
      </w:r>
    </w:p>
    <w:p w14:paraId="4DAF4E9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楷体_GB2312" w:hAnsi="Times New Roman" w:eastAsia="楷体_GB2312" w:cs="楷体_GB2312"/>
          <w:b w:val="0"/>
          <w:bCs w:val="0"/>
          <w:i w:val="0"/>
          <w:iCs w:val="0"/>
          <w:caps w:val="0"/>
          <w:color w:val="000000"/>
          <w:spacing w:val="0"/>
          <w:kern w:val="0"/>
          <w:sz w:val="32"/>
          <w:szCs w:val="32"/>
          <w:u w:val="none"/>
          <w:bdr w:val="none" w:color="auto" w:sz="0" w:space="0"/>
          <w:shd w:val="clear" w:fill="FFFFFF"/>
          <w:vertAlign w:val="baseline"/>
          <w:lang w:val="en-US" w:eastAsia="zh-CN" w:bidi="ar"/>
        </w:rPr>
        <w:t>第一，压实项目单位主体责任。</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项目前期阶段同步谋划社会稳定风险分析工作，做实群众走访调研，如实反映群众诉求，科学识别风险，配套可落地的化解措施，杜绝稳评报告</w:t>
      </w:r>
      <w:r>
        <w:rPr>
          <w:rFonts w:hint="default" w:ascii="Times New Roman" w:hAnsi="Times New Roman" w:eastAsia="宋体" w:cs="Times New Roman"/>
          <w:i w:val="0"/>
          <w:iCs w:val="0"/>
          <w:caps w:val="0"/>
          <w:color w:val="000000"/>
          <w:spacing w:val="0"/>
          <w:kern w:val="0"/>
          <w:sz w:val="32"/>
          <w:szCs w:val="32"/>
          <w:u w:val="none"/>
          <w:bdr w:val="none" w:color="auto" w:sz="0" w:space="0"/>
          <w:shd w:val="clear" w:fill="FFFFFF"/>
          <w:vertAlign w:val="baseline"/>
          <w:lang w:val="en-US" w:eastAsia="zh-CN" w:bidi="ar"/>
        </w:rPr>
        <w:t>“</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走过场</w:t>
      </w:r>
      <w:r>
        <w:rPr>
          <w:rFonts w:hint="default" w:ascii="Times New Roman" w:hAnsi="Times New Roman" w:eastAsia="宋体" w:cs="Times New Roman"/>
          <w:i w:val="0"/>
          <w:iCs w:val="0"/>
          <w:caps w:val="0"/>
          <w:color w:val="000000"/>
          <w:spacing w:val="0"/>
          <w:kern w:val="0"/>
          <w:sz w:val="32"/>
          <w:szCs w:val="32"/>
          <w:u w:val="none"/>
          <w:bdr w:val="none" w:color="auto" w:sz="0" w:space="0"/>
          <w:shd w:val="clear" w:fill="FFFFFF"/>
          <w:vertAlign w:val="baseline"/>
          <w:lang w:val="en-US" w:eastAsia="zh-CN" w:bidi="ar"/>
        </w:rPr>
        <w:t>”</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w:t>
      </w:r>
    </w:p>
    <w:p w14:paraId="65B8F7C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楷体_GB2312" w:hAnsi="Times New Roman" w:eastAsia="楷体_GB2312" w:cs="楷体_GB2312"/>
          <w:b w:val="0"/>
          <w:bCs w:val="0"/>
          <w:i w:val="0"/>
          <w:iCs w:val="0"/>
          <w:caps w:val="0"/>
          <w:color w:val="000000"/>
          <w:spacing w:val="0"/>
          <w:kern w:val="0"/>
          <w:sz w:val="32"/>
          <w:szCs w:val="32"/>
          <w:u w:val="none"/>
          <w:bdr w:val="none" w:color="auto" w:sz="0" w:space="0"/>
          <w:shd w:val="clear" w:fill="FFFFFF"/>
          <w:vertAlign w:val="baseline"/>
          <w:lang w:val="en-US" w:eastAsia="zh-CN" w:bidi="ar"/>
        </w:rPr>
        <w:t>第二，严格规范评估评审程序。</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评估主体严格落实专家组组成、回避、集体评审等制度，保证评估论证客观公正，不得简化程序、压缩调研征求意见环节。</w:t>
      </w:r>
    </w:p>
    <w:p w14:paraId="21E49CD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楷体_GB2312" w:hAnsi="Times New Roman" w:eastAsia="楷体_GB2312" w:cs="楷体_GB2312"/>
          <w:b w:val="0"/>
          <w:bCs w:val="0"/>
          <w:i w:val="0"/>
          <w:iCs w:val="0"/>
          <w:caps w:val="0"/>
          <w:color w:val="000000"/>
          <w:spacing w:val="0"/>
          <w:kern w:val="0"/>
          <w:sz w:val="32"/>
          <w:szCs w:val="32"/>
          <w:u w:val="none"/>
          <w:bdr w:val="none" w:color="auto" w:sz="0" w:space="0"/>
          <w:shd w:val="clear" w:fill="FFFFFF"/>
          <w:vertAlign w:val="baseline"/>
          <w:lang w:val="en-US" w:eastAsia="zh-CN" w:bidi="ar"/>
        </w:rPr>
        <w:t>第三，强化评估结果落地见效。</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不能把稳评仅作为审批前置手续，要把风险防范化解措施贯穿项目立项、建设、运行全过程，属地部门做好风险动态监测，及时处置苗头性矛盾。</w:t>
      </w:r>
    </w:p>
    <w:p w14:paraId="2F4BA0C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楷体_GB2312" w:hAnsi="Times New Roman" w:eastAsia="楷体_GB2312" w:cs="楷体_GB2312"/>
          <w:b w:val="0"/>
          <w:bCs w:val="0"/>
          <w:i w:val="0"/>
          <w:iCs w:val="0"/>
          <w:caps w:val="0"/>
          <w:color w:val="000000"/>
          <w:spacing w:val="0"/>
          <w:kern w:val="0"/>
          <w:sz w:val="32"/>
          <w:szCs w:val="32"/>
          <w:u w:val="none"/>
          <w:bdr w:val="none" w:color="auto" w:sz="0" w:space="0"/>
          <w:shd w:val="clear" w:fill="FFFFFF"/>
          <w:vertAlign w:val="baseline"/>
          <w:lang w:val="en-US" w:eastAsia="zh-CN" w:bidi="ar"/>
        </w:rPr>
        <w:t>第四，做好上下衔接。</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各地（州、市）发展改革部门参照本办法精神，完善本级重大固定资产投资项目社会稳定风险评估工作机制，规范本地区稳评管理。</w:t>
      </w:r>
    </w:p>
    <w:p w14:paraId="64D5B83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楷体_GB2312" w:hAnsi="Times New Roman" w:eastAsia="楷体_GB2312" w:cs="楷体_GB2312"/>
          <w:b w:val="0"/>
          <w:bCs w:val="0"/>
          <w:i w:val="0"/>
          <w:iCs w:val="0"/>
          <w:caps w:val="0"/>
          <w:color w:val="000000"/>
          <w:spacing w:val="0"/>
          <w:kern w:val="0"/>
          <w:sz w:val="32"/>
          <w:szCs w:val="32"/>
          <w:u w:val="none"/>
          <w:bdr w:val="none" w:color="auto" w:sz="0" w:space="0"/>
          <w:shd w:val="clear" w:fill="FFFFFF"/>
          <w:vertAlign w:val="baseline"/>
          <w:lang w:val="en-US" w:eastAsia="zh-CN" w:bidi="ar"/>
        </w:rPr>
        <w:t>第五，强化评估保障压实各方责任。</w:t>
      </w:r>
      <w:r>
        <w:rPr>
          <w:rFonts w:hint="eastAsia" w:ascii="仿宋_GB2312" w:hAnsi="Times New Roman" w:eastAsia="仿宋_GB2312" w:cs="仿宋_GB2312"/>
          <w:b/>
          <w:bCs/>
          <w:i w:val="0"/>
          <w:iCs w:val="0"/>
          <w:caps w:val="0"/>
          <w:color w:val="000000"/>
          <w:spacing w:val="0"/>
          <w:kern w:val="0"/>
          <w:sz w:val="32"/>
          <w:szCs w:val="32"/>
          <w:u w:val="none"/>
          <w:bdr w:val="none" w:color="auto" w:sz="0" w:space="0"/>
          <w:shd w:val="clear" w:fill="FFFFFF"/>
          <w:vertAlign w:val="baseline"/>
          <w:lang w:val="en-US" w:eastAsia="zh-CN" w:bidi="ar"/>
        </w:rPr>
        <w:t>一是经费保障，</w:t>
      </w:r>
      <w:r>
        <w:rPr>
          <w:rFonts w:hint="eastAsia" w:ascii="仿宋_GB2312" w:hAnsi="Times New Roman" w:eastAsia="仿宋_GB2312" w:cs="仿宋_GB2312"/>
          <w:b w:val="0"/>
          <w:bCs w:val="0"/>
          <w:i w:val="0"/>
          <w:iCs w:val="0"/>
          <w:caps w:val="0"/>
          <w:color w:val="000000"/>
          <w:spacing w:val="0"/>
          <w:kern w:val="0"/>
          <w:sz w:val="32"/>
          <w:szCs w:val="32"/>
          <w:u w:val="none"/>
          <w:bdr w:val="none" w:color="auto" w:sz="0" w:space="0"/>
          <w:shd w:val="clear" w:fill="FFFFFF"/>
          <w:vertAlign w:val="baseline"/>
          <w:lang w:val="en-US" w:eastAsia="zh-CN" w:bidi="ar"/>
        </w:rPr>
        <w:t>风险分析费用纳入项目建设成本，评估费用由政府或主管部门预算保障，不增加企业负担。</w:t>
      </w:r>
      <w:r>
        <w:rPr>
          <w:rFonts w:hint="eastAsia" w:ascii="仿宋_GB2312" w:hAnsi="Times New Roman" w:eastAsia="仿宋_GB2312" w:cs="仿宋_GB2312"/>
          <w:b/>
          <w:bCs/>
          <w:i w:val="0"/>
          <w:iCs w:val="0"/>
          <w:caps w:val="0"/>
          <w:color w:val="000000"/>
          <w:spacing w:val="0"/>
          <w:kern w:val="0"/>
          <w:sz w:val="32"/>
          <w:szCs w:val="32"/>
          <w:u w:val="none"/>
          <w:bdr w:val="none" w:color="auto" w:sz="0" w:space="0"/>
          <w:shd w:val="clear" w:fill="FFFFFF"/>
          <w:vertAlign w:val="baseline"/>
          <w:lang w:val="en-US" w:eastAsia="zh-CN" w:bidi="ar"/>
        </w:rPr>
        <w:t>二是保密义务，</w:t>
      </w:r>
      <w:r>
        <w:rPr>
          <w:rFonts w:hint="eastAsia" w:ascii="仿宋_GB2312" w:hAnsi="Times New Roman" w:eastAsia="仿宋_GB2312" w:cs="仿宋_GB2312"/>
          <w:b w:val="0"/>
          <w:bCs w:val="0"/>
          <w:i w:val="0"/>
          <w:iCs w:val="0"/>
          <w:caps w:val="0"/>
          <w:color w:val="000000"/>
          <w:spacing w:val="0"/>
          <w:kern w:val="0"/>
          <w:sz w:val="32"/>
          <w:szCs w:val="32"/>
          <w:u w:val="none"/>
          <w:bdr w:val="none" w:color="auto" w:sz="0" w:space="0"/>
          <w:shd w:val="clear" w:fill="FFFFFF"/>
          <w:vertAlign w:val="baseline"/>
          <w:lang w:val="en-US" w:eastAsia="zh-CN" w:bidi="ar"/>
        </w:rPr>
        <w:t>编制和咨询机构须对获取的商业秘密和个人隐私严格保密。</w:t>
      </w:r>
      <w:r>
        <w:rPr>
          <w:rFonts w:hint="eastAsia" w:ascii="仿宋_GB2312" w:hAnsi="Times New Roman" w:eastAsia="仿宋_GB2312" w:cs="仿宋_GB2312"/>
          <w:b/>
          <w:bCs/>
          <w:i w:val="0"/>
          <w:iCs w:val="0"/>
          <w:caps w:val="0"/>
          <w:color w:val="000000"/>
          <w:spacing w:val="0"/>
          <w:kern w:val="0"/>
          <w:sz w:val="32"/>
          <w:szCs w:val="32"/>
          <w:u w:val="none"/>
          <w:bdr w:val="none" w:color="auto" w:sz="0" w:space="0"/>
          <w:shd w:val="clear" w:fill="FFFFFF"/>
          <w:vertAlign w:val="baseline"/>
          <w:lang w:val="en-US" w:eastAsia="zh-CN" w:bidi="ar"/>
        </w:rPr>
        <w:t>三是动态管理，</w:t>
      </w:r>
      <w:r>
        <w:rPr>
          <w:rFonts w:hint="eastAsia" w:ascii="仿宋_GB2312" w:hAnsi="Times New Roman" w:eastAsia="仿宋_GB2312" w:cs="仿宋_GB2312"/>
          <w:b w:val="0"/>
          <w:bCs w:val="0"/>
          <w:i w:val="0"/>
          <w:iCs w:val="0"/>
          <w:caps w:val="0"/>
          <w:color w:val="000000"/>
          <w:spacing w:val="0"/>
          <w:kern w:val="0"/>
          <w:sz w:val="32"/>
          <w:szCs w:val="32"/>
          <w:u w:val="none"/>
          <w:bdr w:val="none" w:color="auto" w:sz="0" w:space="0"/>
          <w:shd w:val="clear" w:fill="FFFFFF"/>
          <w:vertAlign w:val="baseline"/>
          <w:lang w:val="en-US" w:eastAsia="zh-CN" w:bidi="ar"/>
        </w:rPr>
        <w:t>项目建设方案、用地范围等核心要素调整，或长期未开工导致评估结论失效的，须重新开展评估。</w:t>
      </w:r>
      <w:r>
        <w:rPr>
          <w:rFonts w:hint="eastAsia" w:ascii="仿宋_GB2312" w:hAnsi="Times New Roman" w:eastAsia="仿宋_GB2312" w:cs="仿宋_GB2312"/>
          <w:b/>
          <w:bCs/>
          <w:i w:val="0"/>
          <w:iCs w:val="0"/>
          <w:caps w:val="0"/>
          <w:color w:val="000000"/>
          <w:spacing w:val="0"/>
          <w:kern w:val="0"/>
          <w:sz w:val="32"/>
          <w:szCs w:val="32"/>
          <w:u w:val="none"/>
          <w:bdr w:val="none" w:color="auto" w:sz="0" w:space="0"/>
          <w:shd w:val="clear" w:fill="FFFFFF"/>
          <w:vertAlign w:val="baseline"/>
          <w:lang w:val="en-US" w:eastAsia="zh-CN" w:bidi="ar"/>
        </w:rPr>
        <w:t>四是责任追究，</w:t>
      </w:r>
      <w:r>
        <w:rPr>
          <w:rFonts w:hint="eastAsia" w:ascii="仿宋_GB2312" w:hAnsi="Times New Roman" w:eastAsia="仿宋_GB2312" w:cs="仿宋_GB2312"/>
          <w:b w:val="0"/>
          <w:bCs w:val="0"/>
          <w:i w:val="0"/>
          <w:iCs w:val="0"/>
          <w:caps w:val="0"/>
          <w:color w:val="000000"/>
          <w:spacing w:val="0"/>
          <w:kern w:val="0"/>
          <w:sz w:val="32"/>
          <w:szCs w:val="32"/>
          <w:u w:val="none"/>
          <w:bdr w:val="none" w:color="auto" w:sz="0" w:space="0"/>
          <w:shd w:val="clear" w:fill="FFFFFF"/>
          <w:vertAlign w:val="baseline"/>
          <w:lang w:val="en-US" w:eastAsia="zh-CN" w:bidi="ar"/>
        </w:rPr>
        <w:t>对未经评估或不按评估意见审批造成损失的，追究行政责任；对弄虚作假、隐瞒真相的，依法追究法律责任；对咨询意见严重失实的机构，依法予以惩处。</w:t>
      </w:r>
    </w:p>
    <w:p w14:paraId="4B649E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line="560" w:lineRule="atLeast"/>
        <w:ind w:left="0" w:right="0" w:firstLine="640"/>
        <w:jc w:val="both"/>
        <w:textAlignment w:val="baseline"/>
        <w:rPr>
          <w:rFonts w:hint="eastAsia" w:ascii="宋体" w:hAnsi="宋体" w:eastAsia="宋体" w:cs="宋体"/>
          <w:i w:val="0"/>
          <w:iCs w:val="0"/>
          <w:caps w:val="0"/>
          <w:color w:val="505050"/>
          <w:spacing w:val="0"/>
          <w:sz w:val="18"/>
          <w:szCs w:val="18"/>
          <w:u w:val="none"/>
        </w:rPr>
      </w:pPr>
      <w:r>
        <w:rPr>
          <w:rFonts w:hint="eastAsia" w:ascii="黑体" w:hAnsi="宋体" w:eastAsia="黑体" w:cs="黑体"/>
          <w:i w:val="0"/>
          <w:iCs w:val="0"/>
          <w:caps w:val="0"/>
          <w:color w:val="000000"/>
          <w:spacing w:val="0"/>
          <w:kern w:val="0"/>
          <w:sz w:val="32"/>
          <w:szCs w:val="32"/>
          <w:u w:val="none"/>
          <w:bdr w:val="none" w:color="auto" w:sz="0" w:space="0"/>
          <w:shd w:val="clear" w:fill="FFFFFF"/>
          <w:vertAlign w:val="baseline"/>
          <w:lang w:val="en-US" w:eastAsia="zh-CN" w:bidi="ar"/>
        </w:rPr>
        <w:t>六、《办法》何时实施？新旧文件如何衔接？</w:t>
      </w:r>
    </w:p>
    <w:p w14:paraId="39ED467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0" w:afterAutospacing="0"/>
        <w:ind w:left="0" w:right="0" w:firstLine="0"/>
        <w:jc w:val="left"/>
        <w:textAlignment w:val="baseline"/>
        <w:rPr>
          <w:rFonts w:hint="eastAsia" w:ascii="宋体" w:hAnsi="宋体" w:eastAsia="宋体" w:cs="宋体"/>
          <w:i w:val="0"/>
          <w:iCs w:val="0"/>
          <w:caps w:val="0"/>
          <w:color w:val="505050"/>
          <w:spacing w:val="0"/>
          <w:sz w:val="18"/>
          <w:szCs w:val="18"/>
          <w:u w:val="none"/>
        </w:rPr>
      </w:pP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《办法》自印发之日起施行，原《新疆维吾尔自治区发展改革委重大固定资产投资项目社会稳定风险评估暂行办法》（新发改投资〔</w:t>
      </w:r>
      <w:r>
        <w:rPr>
          <w:rFonts w:hint="default" w:ascii="Times New Roman" w:hAnsi="Times New Roman" w:eastAsia="宋体" w:cs="Times New Roman"/>
          <w:i w:val="0"/>
          <w:iCs w:val="0"/>
          <w:caps w:val="0"/>
          <w:color w:val="000000"/>
          <w:spacing w:val="0"/>
          <w:kern w:val="0"/>
          <w:sz w:val="32"/>
          <w:szCs w:val="32"/>
          <w:u w:val="none"/>
          <w:bdr w:val="none" w:color="auto" w:sz="0" w:space="0"/>
          <w:shd w:val="clear" w:fill="FFFFFF"/>
          <w:vertAlign w:val="baseline"/>
          <w:lang w:val="en-US" w:eastAsia="zh-CN" w:bidi="ar"/>
        </w:rPr>
        <w:t>2013</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w:t>
      </w:r>
      <w:r>
        <w:rPr>
          <w:rFonts w:hint="default" w:ascii="Times New Roman" w:hAnsi="Times New Roman" w:eastAsia="宋体" w:cs="Times New Roman"/>
          <w:i w:val="0"/>
          <w:iCs w:val="0"/>
          <w:caps w:val="0"/>
          <w:color w:val="000000"/>
          <w:spacing w:val="0"/>
          <w:kern w:val="0"/>
          <w:sz w:val="32"/>
          <w:szCs w:val="32"/>
          <w:u w:val="none"/>
          <w:bdr w:val="none" w:color="auto" w:sz="0" w:space="0"/>
          <w:shd w:val="clear" w:fill="FFFFFF"/>
          <w:vertAlign w:val="baseline"/>
          <w:lang w:val="en-US" w:eastAsia="zh-CN" w:bidi="ar"/>
        </w:rPr>
        <w:t>3211</w:t>
      </w:r>
      <w:r>
        <w:rPr>
          <w:rFonts w:hint="eastAsia" w:ascii="仿宋_GB2312" w:hAnsi="Times New Roman" w:eastAsia="仿宋_GB2312" w:cs="仿宋_GB2312"/>
          <w:i w:val="0"/>
          <w:iCs w:val="0"/>
          <w:caps w:val="0"/>
          <w:color w:val="000000"/>
          <w:spacing w:val="0"/>
          <w:kern w:val="0"/>
          <w:sz w:val="32"/>
          <w:szCs w:val="32"/>
          <w:u w:val="none"/>
          <w:bdr w:val="none" w:color="auto" w:sz="0" w:space="0"/>
          <w:shd w:val="clear" w:fill="FFFFFF"/>
          <w:vertAlign w:val="baseline"/>
          <w:lang w:val="en-US" w:eastAsia="zh-CN" w:bidi="ar"/>
        </w:rPr>
        <w:t>号）同时废止。办法实施前已经受理、尚未完成审批核准的项目，按照新旧政策平稳过渡原则执行。</w:t>
      </w:r>
    </w:p>
    <w:p w14:paraId="06B00722">
      <w:pPr>
        <w:rPr>
          <w:rFonts w:ascii="微软雅黑" w:hAnsi="微软雅黑" w:eastAsia="微软雅黑" w:cs="微软雅黑"/>
          <w:i w:val="0"/>
          <w:iCs w:val="0"/>
          <w:caps w:val="0"/>
          <w:color w:val="242424"/>
          <w:spacing w:val="0"/>
          <w:sz w:val="30"/>
          <w:szCs w:val="30"/>
          <w:shd w:val="clear" w:fill="FFFFFF"/>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BE4AE0"/>
    <w:rsid w:val="19F13D8A"/>
    <w:rsid w:val="21297101"/>
    <w:rsid w:val="2B3471E7"/>
    <w:rsid w:val="61F80483"/>
    <w:rsid w:val="62636DBD"/>
    <w:rsid w:val="6CF94E2F"/>
    <w:rsid w:val="78BE4A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3"/>
    <w:qFormat/>
    <w:uiPriority w:val="0"/>
    <w:pPr>
      <w:keepNext/>
      <w:keepLines/>
      <w:spacing w:before="340" w:beforeLines="0" w:beforeAutospacing="0" w:after="330" w:afterLines="0" w:afterAutospacing="0" w:line="240" w:lineRule="auto"/>
      <w:jc w:val="left"/>
      <w:outlineLvl w:val="0"/>
    </w:pPr>
    <w:rPr>
      <w:rFonts w:eastAsia="仿宋_GB2312" w:asciiTheme="minorAscii" w:hAnsiTheme="minorAscii"/>
      <w:b/>
      <w:kern w:val="44"/>
      <w:sz w:val="32"/>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12</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2026-10-21T03:59:00Z</dcterms:created>
  <dc:creator>康文爱</dc:creator>
  <cp:lastModifiedBy>康文爱</cp:lastModifiedBy>
  <dcterms:modified xsi:type="dcterms:W3CDTF">2026-10-21T04:04:14Z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4CB3EED256EB4A25BD0B8ADFC1766CC6_11</vt:lpwstr>
  </property>
  <property fmtid="{D5CDD505-2E9C-101B-9397-08002B2CF9AE}" pid="4" name="KSOTemplateDocerSaveRecord">
    <vt:lpwstr>eyJoZGlkIjoiZjZlNmZjZDNhMjRlNzM1YmNlMDZmMDY1OGQ0MTc2OTAiLCJ1c2VySWQiOiIxNzA4MDkwODM3In0=</vt:lpwstr>
  </property>
</Properties>
</file>