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2022</w:t>
      </w:r>
      <w:r>
        <w:rPr>
          <w:rFonts w:hint="default" w:ascii="Times New Roman" w:hAnsi="Times New Roman" w:eastAsia="仿宋_GB2312" w:cs="Times New Roman"/>
          <w:kern w:val="0"/>
          <w:sz w:val="36"/>
          <w:szCs w:val="36"/>
        </w:rPr>
        <w:t>年度）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ind w:left="840" w:leftChars="0" w:hanging="420" w:firstLineChars="0"/>
        <w:jc w:val="left"/>
        <w:textAlignment w:val="auto"/>
        <w:rPr>
          <w:rFonts w:hint="default" w:ascii="Times New Roman" w:hAnsi="Times New Roman" w:eastAsia="仿宋_GB2312" w:cs="Times New Roman"/>
          <w:b w:val="0"/>
          <w:bCs w:val="0"/>
          <w:kern w:val="0"/>
          <w:sz w:val="28"/>
          <w:szCs w:val="28"/>
        </w:rPr>
      </w:pPr>
      <w:r>
        <w:rPr>
          <w:rFonts w:hint="default" w:ascii="Times New Roman" w:hAnsi="Times New Roman" w:eastAsia="仿宋_GB2312" w:cs="Times New Roman"/>
          <w:b w:val="0"/>
          <w:bCs w:val="0"/>
          <w:kern w:val="0"/>
          <w:sz w:val="28"/>
          <w:szCs w:val="28"/>
        </w:rPr>
        <w:t>项目名称：</w:t>
      </w:r>
      <w:r>
        <w:rPr>
          <w:rStyle w:val="18"/>
          <w:rFonts w:hint="default" w:ascii="Times New Roman" w:hAnsi="Times New Roman" w:eastAsia="仿宋_GB2312" w:cs="Times New Roman"/>
          <w:b w:val="0"/>
          <w:bCs w:val="0"/>
          <w:spacing w:val="-4"/>
          <w:sz w:val="28"/>
          <w:szCs w:val="28"/>
        </w:rPr>
        <w:t>2022年自治区预算内投资（前期费）</w:t>
      </w:r>
    </w:p>
    <w:p>
      <w:pPr>
        <w:keepNext w:val="0"/>
        <w:keepLines w:val="0"/>
        <w:pageBreakBefore w:val="0"/>
        <w:widowControl w:val="0"/>
        <w:kinsoku/>
        <w:wordWrap/>
        <w:overflowPunct/>
        <w:topLinePunct w:val="0"/>
        <w:autoSpaceDE/>
        <w:autoSpaceDN/>
        <w:bidi w:val="0"/>
        <w:adjustRightInd/>
        <w:snapToGrid/>
        <w:spacing w:line="580" w:lineRule="exact"/>
        <w:ind w:left="420" w:leftChars="0" w:firstLine="0" w:firstLineChars="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实施单位（公章）：</w:t>
      </w:r>
      <w:r>
        <w:rPr>
          <w:rStyle w:val="18"/>
          <w:rFonts w:hint="default" w:ascii="Times New Roman" w:hAnsi="Times New Roman" w:eastAsia="仿宋_GB2312" w:cs="Times New Roman"/>
          <w:b w:val="0"/>
          <w:bCs w:val="0"/>
          <w:spacing w:val="-4"/>
          <w:sz w:val="28"/>
          <w:szCs w:val="28"/>
        </w:rPr>
        <w:t>新疆维吾尔自治区发展和改革委员会（</w:t>
      </w:r>
      <w:r>
        <w:rPr>
          <w:rStyle w:val="18"/>
          <w:rFonts w:hint="default" w:ascii="Times New Roman" w:hAnsi="Times New Roman" w:eastAsia="仿宋_GB2312" w:cs="Times New Roman"/>
          <w:b w:val="0"/>
          <w:bCs w:val="0"/>
          <w:spacing w:val="-4"/>
          <w:sz w:val="28"/>
          <w:szCs w:val="28"/>
          <w:lang w:eastAsia="zh-CN"/>
        </w:rPr>
        <w:t>本级</w:t>
      </w:r>
      <w:r>
        <w:rPr>
          <w:rStyle w:val="18"/>
          <w:rFonts w:hint="default" w:ascii="Times New Roman" w:hAnsi="Times New Roman" w:eastAsia="仿宋_GB2312" w:cs="Times New Roman"/>
          <w:b w:val="0"/>
          <w:bCs w:val="0"/>
          <w:spacing w:val="-4"/>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420" w:leftChars="0" w:firstLine="0" w:firstLineChars="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主管部门（公章）：</w:t>
      </w:r>
      <w:r>
        <w:rPr>
          <w:rStyle w:val="18"/>
          <w:rFonts w:hint="default" w:ascii="Times New Roman" w:hAnsi="Times New Roman" w:eastAsia="仿宋_GB2312" w:cs="Times New Roman"/>
          <w:b w:val="0"/>
          <w:bCs w:val="0"/>
          <w:spacing w:val="-4"/>
          <w:sz w:val="28"/>
          <w:szCs w:val="28"/>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ind w:left="420" w:leftChars="0" w:firstLine="0" w:firstLineChars="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项目负责人（签章）：</w:t>
      </w:r>
      <w:r>
        <w:rPr>
          <w:rStyle w:val="18"/>
          <w:rFonts w:hint="default" w:ascii="Times New Roman" w:hAnsi="Times New Roman" w:eastAsia="仿宋_GB2312" w:cs="Times New Roman"/>
          <w:b w:val="0"/>
          <w:bCs w:val="0"/>
          <w:spacing w:val="-4"/>
          <w:sz w:val="28"/>
          <w:szCs w:val="28"/>
        </w:rPr>
        <w:t>严江</w:t>
      </w:r>
    </w:p>
    <w:p>
      <w:pPr>
        <w:keepNext w:val="0"/>
        <w:keepLines w:val="0"/>
        <w:pageBreakBefore w:val="0"/>
        <w:widowControl w:val="0"/>
        <w:kinsoku/>
        <w:wordWrap/>
        <w:overflowPunct/>
        <w:topLinePunct w:val="0"/>
        <w:autoSpaceDE/>
        <w:autoSpaceDN/>
        <w:bidi w:val="0"/>
        <w:adjustRightInd/>
        <w:snapToGrid/>
        <w:spacing w:line="580" w:lineRule="exact"/>
        <w:ind w:left="420" w:leftChars="0" w:firstLine="0" w:firstLineChars="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rPr>
        <w:t>填报时间：</w:t>
      </w:r>
      <w:r>
        <w:rPr>
          <w:rStyle w:val="18"/>
          <w:rFonts w:hint="default" w:ascii="Times New Roman" w:hAnsi="Times New Roman" w:eastAsia="仿宋_GB2312" w:cs="Times New Roman"/>
          <w:b w:val="0"/>
          <w:bCs w:val="0"/>
          <w:spacing w:val="-4"/>
          <w:sz w:val="28"/>
          <w:szCs w:val="28"/>
        </w:rPr>
        <w:t>2023年03月16日</w:t>
      </w:r>
    </w:p>
    <w:p>
      <w:pPr>
        <w:keepNext w:val="0"/>
        <w:keepLines w:val="0"/>
        <w:pageBreakBefore w:val="0"/>
        <w:widowControl w:val="0"/>
        <w:kinsoku/>
        <w:wordWrap/>
        <w:overflowPunct/>
        <w:topLinePunct w:val="0"/>
        <w:autoSpaceDE/>
        <w:autoSpaceDN/>
        <w:bidi w:val="0"/>
        <w:adjustRightInd/>
        <w:snapToGrid/>
        <w:spacing w:line="580" w:lineRule="exact"/>
        <w:ind w:firstLine="755" w:firstLineChars="236"/>
        <w:jc w:val="left"/>
        <w:textAlignment w:val="auto"/>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黑体" w:cs="Times New Roman"/>
          <w:b w:val="0"/>
          <w:spacing w:val="-4"/>
          <w:sz w:val="32"/>
          <w:szCs w:val="32"/>
        </w:rPr>
        <w:sectPr>
          <w:pgSz w:w="11906" w:h="16838"/>
          <w:pgMar w:top="2098" w:right="1531" w:bottom="1984" w:left="1531"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背景本项目遵循财政部《项目支出绩效评价管理办法》（财预〔2020〕10号）、自治区财政厅《自治区财政支出绩效评价管理暂行办法》（新财预〔2018〕189号）等相关政策文件与规定，按照自治区党委经济工作会议精神和政府工作报告要求，重点聚焦事关全区经济社会发展的重大项目前期、重点规划编制和重大工程建设，加大关键领域和薄弱环节有效投资，安排自治区预算内基本建设投资，支持重大基础设施开展前期工作，安排重大项目前期费、自治区规划编制及相关课题研究费。保持基础设施领域补短板力度，进一步完善基础设施和公共服务，更好发挥有效投资对优化供给结构的关键性作用，保持经济平稳健康发展。</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2.主要内容及实施情况</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主要内容：围绕国家“十四五”支持新疆经济社会发展重大项目实施方案、自治区国民经济和社会发展第十四个五年规划和2035年远景目标纲要确定的重点领域、重点任务，按照前期费大于等于20%、投资项目小于等于80%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实施情况：2022年经我委分解下达自治区预算内投资（前期费）13亿元，共支持水利、交通等重大基础设施建设、改善民生等项目，以及重点项目前期工作、重要规划编制和课题研究共194个，特别是遴选支持了一批撬动社会投资能力较强的项目，充分发挥政府投资的引导带动作用，促进了基层民生改善，加强基础和薄弱环节建设，加快重点领域和重大项目建设，推动了我区经济健康发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3.</w:t>
      </w:r>
      <w:r>
        <w:rPr>
          <w:rFonts w:hint="default" w:ascii="Times New Roman" w:hAnsi="Times New Roman" w:eastAsia="仿宋_GB2312" w:cs="Times New Roman"/>
          <w:sz w:val="32"/>
          <w:szCs w:val="32"/>
        </w:rPr>
        <w:t>项目实施主体</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由自治区发展改革委负责分解下达投资计划，有关地（州、市）、部门组织实施。自治区发展改革委主要职能：（一）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二）提出加快建设现代化经济体系、推动高质量发展的总体目标、重大任务以及相关政策。组织开展重大战略规划、重大政策、重大工程等评估督导，提出相关调整建议。（三）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四）指导推进和综合协调经济体制改革有关工作，提出相关改革建议。牵头推进供给侧结构性改革。协调推进产权制度和要素市场化配置改革。落实市场准入负面清单制度。牵头推进优化营商环境工作。（五）提出利用外资和境外投资的战略、规划、总量平衡和结构优化政策。牵头推进实施“一带一路”建设。承担统筹协调走出去有关工作。会同有关部门贯彻落实外商投资准入负面清单。（六）负责投资综合管理，拟订全社会固定资产投资总规模、结构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七）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九）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十一）负责自治区社会发展与国民经济发展的政策衔接，协调有关重大问题。组织拟订自治区社会发展战略、总体规划，统筹推进基本公共服务体系建设。提出促进就业、完善社会保障与经济协调发展的政策建议。牵头开展社会信用体系建设。（十二）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十三）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十四）贯彻落实对口支援新疆工作部际联席会议办公室各项政策措施，做好对口援疆工作综合协调、服务保障，组织开展对口援疆规划衔接平衡。（十五）承担自治区对口援疆协调领导小组办公室、自治区社会信用体系建设联席会议办公室、自治区西部开发领导小组办公室、自治区应对气候变化及节能减排工作领导小组等相关具体工作。（十六）管理自治区粮食和物资储备局。（十七）完成自治区党委、人民政府交办的其他任务。</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4.资金投入和使用情况</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2022年自治区预算内投资（含前期费）资金130000万元。其中：自治区预算内基本建设投资共安排47294万元；自治区预算内前期费共安排80706万元；自治区财政部门统筹安排2000万元。截至2022年12月31日，实际执行130000万元，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1.项目绩效总目标</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围绕国家“十四五”支持新疆经济社会发展重大项目实施方案、自治区国民经济和社会发展第十四个五年规划和2035年远景目标纲要确定的重点领域、重点任务，按照前期费大于等于20%、投资项目小于等于80%下达比例给予支持。积极开展规划编制和课题研究，完成项目前期工作，推进重点项目建设，为推进我区经济高质量发展提供政策建议、决策参考，促进经济持续健康发展。通过相关项目建成和投入使用，保障和改善民生，进一步完善基础设施，改善当地生态环境，提升公共服务能力，补齐我区经济社会发展短板和弱项，积极推进我区实现社会稳定和长治久安总目标。</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2.阶段性目标</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项目前期准备阶段：2022年1月1日至31日，明确自治区预算内投资规模、支持范围，做好项目储备。</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实施阶段：2月1日至2月28日，下达第一批自治区预算内投资；3月1日至4月30日，下达第二批自治区预算内投资，累计下达投资超30000万元；6月30日前，累计下达投资超50000万元；11月30日前，预算内执行率达到100%。</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项目验收阶段：12月1日至31日，收集预算内执行情况材料。</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1.绩效评价目的</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次绩效评价遵循财政部《项目支出绩效评价管理办法》（财预〔2020〕10号）和自治区财政厅《自治区财政支出绩效评价管理暂行办法》（新财预〔2018〕189号）等相关政策文件与规定，旨在评价2022年自治区预算内投资和前期费项目实施前期、过程及效果，评价财政预算资金使用的效率及效益，进一步优化自治区预算内投资安排管理。</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2.绩效评价对象</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本次绩效评价以2022年自治区预算内投资（含前期费）项目所对应的预算资金支出为对象，以项目实施所带来的产出和效果为主要内容，以促进预算单位完成特定工作任务目标所组织开展的绩效评价。</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3.绩效评价范围</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1.绩效评价原则</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2.绩效评价指标体系</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一级指标为：决策、过程、产出、效益。</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二级指标为：项目立项、绩效目标、资金投入、资金管理、组织实施、产出数量、产出质量、产出时效、产出成本、项目效益。</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3.绩效评价方法</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本次评价采用公众评判法和综合分析法，总分由各项指标得分汇总形成。</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综合分析法：通过整理本项目相关资料和数据，对项目的决策、管理、绩效进行的综合评价分析。</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4.绩效评价标准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第一阶段：前期准备</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绩效评价人员根据《项目支出绩效评价管理办法》（财预〔2020〕10号）文件精神认真学习相关要求与规定，成立绩效评价工作组，作为绩效评价工作具体实施机构。成员构成如下</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严江任评价组组长，绩效评价工作职责为负责全盘工作</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李永文任评价组副组长，绩效评价工作职责为对项目实施情况进行数据调度</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张萍萍任评价组成员，绩效评价工作职责为对项目数据进行处理、分析</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谭怡然任评价组成员，绩效评价工作职责为负责资料审核等工作。</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第二阶段：组织实施</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经评价组通过实地调研、查阅资料等方式，采用综合分析法对项目的决策、管理、绩效进行的综合评价分析。</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第三阶段：分析评价。首先按照指标体系进行定量、定性分析。其次开展量化打分、综合评价工作，形成初步评价结论。最后归纳整体项目情况与存在问题，撰写部门绩效评价报告。</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第四阶段：撰写与提交评价报告</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项目撰写绩效评价报告，按照财政局大平台绩效系统中统一格式和文本框架撰写绩效评价报告。</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第五阶段：归集档案</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rPr>
        <w:t>（一）综合评价情况</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2022年自治区预算内投资项目总体组织规范，完成了2022年自治区预算内投资项目的工作目标，通过相关项目建成和投入使用，促进了基层民生改善，加强了基础和薄弱环节建设，加快了重点领域和重大项目建设，补齐我区经济社会发展短板和弱项，推动了我区经济高质量发展。</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在项目决策方面，根据自治区安排部署及自治区“十四五”规划纲要等内容，安排自治区预算内投资（含前期费）项目，项目立项依据充分，立项程序规范。</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管理方面，2022年本项目预算安排130000万元，实际支出130000万元，预算执行率100%。项目资金使用合规，项目财务管理制度健全，财务监控到位，所有资金支付均按照国库集中支付制度严格执行，现有项目管理制度执行情况良好。</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项目产出方面：共支持194个项目（不含自治区财政部门统筹项目）。</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项目效益方面：充分发挥了政府投资的引导带动作用，促进了基层民生改善，加强了基础和薄弱环节建设，加快了重点领域和重大项目建设，推动了我区经济健康发展，推进实现总目标。</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（二）综合评价结论</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运用项目组制定评价指标体系及财政部《项目支出绩效评价管理办法》（财预〔2020〕10号）文件评分标准进行评价，该项目最终评分98分，绩效评级为“优”，具体得分情况为：项目决策20分、项目过程20分、项目产出38分、项目效益20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项目决策类指标包括项目立项、绩效目标和资金投入三方面的内容，由6个三级指标构成，权重分为20分，实际得分20分，得分率为100%。</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立项依据充分性：本项目立项符合国家法律法规，符合自治区党委、人民政府安排部署及自治区“十四五”相关规划，符合自治区发展改革委职责范围，符合《新疆维吾尔自治区预算内基本建设投资项目管理暂行办法》《自治区预算内前期费管理办法》，旨在支持市场不能有效配置资源、需要政府支持的经济和社会领域，立项依据充分，根据评分标准，该指标不扣分,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立项程序规范性：项目按照规定的程序申请设立，审批文件、材料符合相关要求，根据决策依据编制工作计划和经费预算，经集体决策、提交主任办公会研究确定最终投资下达方案，根据评分标准，该指标不扣分，得3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（3）绩效目标合理性：绩效目标与实际工作内容具有相关性，预期产出效益和效果符合正常的业绩水平，且与预算确定的项目投资额或资金量相匹配，根据评分标准，该指标不扣分，得3分。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（4）绩效指标明确性：将项目绩效目标细化分解为具体的绩效指标，11个三级指标，8个定量指标，量化率72.73%通过清晰、可衡量的指标值予以体现，与项目目标任务数或计划数相对应，根据评分标准，该</w:t>
      </w:r>
      <w:bookmarkStart w:id="0" w:name="_GoBack"/>
      <w:bookmarkEnd w:id="0"/>
      <w:r>
        <w:rPr>
          <w:rFonts w:hint="default" w:ascii="Times New Roman" w:hAnsi="Times New Roman" w:eastAsia="仿宋_GB2312" w:cs="Times New Roman"/>
          <w:sz w:val="32"/>
          <w:szCs w:val="32"/>
        </w:rPr>
        <w:t>指标不扣分，得2分。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（5）预算编制科学性：预算编制经过科学论证，内容与项目内容匹配，项目投资额与工作任务相匹配，根据评分标准，该指标不扣分，得5分。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（6）资金分配合理性：资金分配额度合理，与项目单位和地方实际相适应，根据评分标准，该指标不扣分，得2分。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合计得</w:t>
      </w:r>
      <w:r>
        <w:rPr>
          <w:rFonts w:hint="eastAsia" w:eastAsia="仿宋_GB2312" w:cs="Times New Roman"/>
          <w:sz w:val="32"/>
          <w:szCs w:val="32"/>
          <w:lang w:val="en-US" w:eastAsia="zh-CN"/>
        </w:rPr>
        <w:t>20分。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项目过程类指标包括资金管理和组织实施两方面的内容，由5个三级指标构成，权重分为20分，实际得分20分，得分率为100%。</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（1）资金到位率：财政资金足额拨付到位，资金到位率100%，根据评分标准，该指标不扣分，得2分。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（2）预算执行率：预算编制较为详细，项目资金支出总体能够按照预算执行，预算执行率100%，根据评分标准，该指标不扣分，得5分</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（3）资金使用合规性：经费使用符合《基本建设财务管理规定》，资金的拨付有完整的审批程序和手续，财务制度健全、执行严格，根据评分标准，该指标不扣分，得5分。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管理制度健全性：制定了《新疆维吾尔自治区预算内基本建设投资项目管理暂行办法》《自治区预算内前期费管理办法》及发改委项目管理内控制度等相关管理制度，对财政专项资金进行严格管理，做到了专款专用，根据评分标准，该指标不扣分，得4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（5）制度执行有效性：项目执行严格遵守《新疆维吾尔自治区预算内基本建设投资项目管理暂行办法》《自治区预算内前期费管理办法》及发改委投资项目管理内控制度，根据评分标准，该指标不扣分，得4分。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合计得</w:t>
      </w:r>
      <w:r>
        <w:rPr>
          <w:rFonts w:hint="eastAsia" w:eastAsia="仿宋_GB2312" w:cs="Times New Roman"/>
          <w:sz w:val="32"/>
          <w:szCs w:val="32"/>
          <w:lang w:val="en-US" w:eastAsia="zh-CN"/>
        </w:rPr>
        <w:t>20分。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项目产出类指标包括产出数量、产出质量、产出时效、产出成本四方面的内容，由4个三级指标构成，权重分为40分，实际得分38分，得分率为96%。</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（1）对于“产出数量”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安排前期费项目覆盖地州数14，与预期目标一致，根据评分标准，该指标不扣分，得5分。安排基建投资项目覆盖地州13,与预期目标一致，根据评分标准，该指标不扣分，得5分。</w:t>
      </w:r>
      <w:r>
        <w:rPr>
          <w:rFonts w:hint="default" w:ascii="Times New Roman" w:hAnsi="Times New Roman" w:eastAsia="仿宋_GB2312" w:cs="Times New Roman"/>
          <w:sz w:val="32"/>
          <w:szCs w:val="32"/>
        </w:rPr>
        <w:br w:type="textWrapping"/>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2）对于“产出质量”：项目均已下达的建设内容建设，与预期目标一致，根据评分标准，该指标不扣分，得5分。当年完工项目工程质量合格率为100%，与预期目标一致，根据评分标准，该指标不扣分，得5分。截至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年3月16日，根据各地、有关部门汇总数据，项目实际完成投资9.53亿元，项目投资完成率74%，超出70%的年度绩效目标任务，根据评分标准，该指标得5分。截至202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年3月16日，根据各地、有关部门汇总数据，项目实际完成资金拨付8.39亿元，资金拨付率66%，达到65%的年度绩效目标任务，根据评分标准，该指标得5分。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（3）对于“产出时效”：无此项指标。</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对于“产出成本”：安排前期费80706万元，前期费下达比例为62%。预计绩效目标：前期费下达比例大于等于20%，实际完成值为62%，偏差率为210%，偏差原因：受2022年突发疫情影响，我区人力、物力流动困难，基本建设项目进度缓慢，建设资金需求低，因此着重支持了推进重点项目前期工作。采取的措施：科学合理制定绩效目标。根据评分标准，该指标扣1分，得4分。安排基建投资47294万元,基建投资下达比例为38%。预计绩效目标：基建投资下达比例小于等于80%，实际完成值为38%，偏差率为55%，偏差原因：受2022年突发疫情影响，我区人力、物力流动困难，基本建设项目进度缓慢，建设资金需求低，因此着重支持了推进重点项目前期工作。采取的措施：科学合理制定绩效目标。根据评分标准，该指标扣1分，得4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eastAsia="zh-CN"/>
        </w:rPr>
        <w:t>合计得</w:t>
      </w:r>
      <w:r>
        <w:rPr>
          <w:rFonts w:hint="eastAsia" w:eastAsia="仿宋_GB2312" w:cs="Times New Roman"/>
          <w:sz w:val="32"/>
          <w:szCs w:val="32"/>
          <w:lang w:val="en-US" w:eastAsia="zh-CN"/>
        </w:rPr>
        <w:t>38分。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项目效益类指标包括项目效益1个方面的内容，由3个三级指标构成，权重分为20分，实际得分20分，得分率为100%。</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对于“经济效益指标”：补齐了当地短板和弱项，增强了可持续发展能力，与预期指标一致，根据评分标准，该指标不扣分，得5分。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对于“社会效益指标”：有效促进基层民生改善、社会和谐稳定，与预期指标一致，根据评分标准，该指标不扣分，得5分。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对于“可持续影响指标”：有效提升公共服务，与预期指标一致，根据评分标准，该指标不扣分，得10分。</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合计得20分。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lang w:eastAsia="zh-CN"/>
        </w:rPr>
        <w:t>（五）</w:t>
      </w:r>
      <w:r>
        <w:rPr>
          <w:rFonts w:hint="default" w:ascii="Times New Roman" w:hAnsi="Times New Roman" w:eastAsia="楷体_GB2312" w:cs="Times New Roman"/>
          <w:sz w:val="32"/>
          <w:szCs w:val="32"/>
        </w:rPr>
        <w:t>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对于“满意度指标：</w:t>
      </w:r>
      <w:r>
        <w:rPr>
          <w:rFonts w:hint="default" w:ascii="Times New Roman" w:hAnsi="Times New Roman" w:eastAsia="仿宋_GB2312" w:cs="Times New Roman"/>
          <w:sz w:val="32"/>
          <w:szCs w:val="32"/>
        </w:rPr>
        <w:t>无</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lang w:eastAsia="zh-CN"/>
        </w:rPr>
        <w:t>五</w:t>
      </w:r>
      <w:r>
        <w:rPr>
          <w:rFonts w:hint="default" w:ascii="Times New Roman" w:hAnsi="Times New Roman" w:eastAsia="黑体" w:cs="Times New Roman"/>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（一）主要经验及做法</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一是加大基础设施、民生等领域补短板力度，发挥投资对经济增长的关键作用，确保经济平稳健康发展。二是集中资金加快改善自治区基础设施条件，国家逐步加大对新疆的支持力度，基础设施建设仍面临部分项目没有补助投资渠道、地方配套资金无法落实等实际困难，我委在安排自治区预算内投资时，重点解决基础设施及民生项目资金短板问题，使项目建设更好体现以人民为中心的思想，更多地惠及各族群众。三是做好规划项目有序接力，规划编制和项目前期是推动项目建设的前期基础，规划研究和项目前期工作越深入，争取国家项目资金支持越主动。我委适当安排前期工作经费和重点规划课题研究，有利于做好自治区各行业政策、规划顶层设计，实现地方规划与国家规划的有序衔接，促进投资有效增长。</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楷体_GB2312" w:cs="Times New Roman"/>
          <w:sz w:val="32"/>
          <w:szCs w:val="32"/>
        </w:rPr>
        <w:t>（二）存在问题及原因分析</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目前自治区本级及各地州县市建设项目多、任务重，由于我区经济发展相对滞后，各级财政资金十分紧张，可用于基础设施建设的资金极为有限，建设资金需求量非常大，而自治区预算内投资规模又十分有限，远远不能满足实际需求，还需要自治区财政进一步加大投入力度。</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lang w:eastAsia="zh-CN"/>
        </w:rPr>
        <w:t>六</w:t>
      </w:r>
      <w:r>
        <w:rPr>
          <w:rFonts w:hint="default" w:ascii="Times New Roman" w:hAnsi="Times New Roman" w:eastAsia="黑体" w:cs="Times New Roman"/>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根据自治区财力状况逐步增加自治区预算内投资规模，以发挥投资的引导带动作用，争取国家更多补助资金，带动相关领域项目建设，推动自治区经济社会高质量发展。</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加强绩效管理重视程度，定期组织绩效管理培训。</w:t>
      </w:r>
      <w:r>
        <w:rPr>
          <w:rFonts w:hint="default" w:ascii="Times New Roman" w:hAnsi="Times New Roman" w:eastAsia="仿宋_GB2312" w:cs="Times New Roman"/>
          <w:sz w:val="32"/>
          <w:szCs w:val="32"/>
        </w:rPr>
        <w:cr/>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及时下拨资金，履行主管部门监管职能，不断提高资金的使用绩效,对跨年度实施项目资金当年未支出完毕的，可以结转到第二年使用，确保项目顺利推进建设。</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rPr>
        <w:t>各项目单位严格执行项目调度和档案管理制度，每月将项目开工情况、投资完成情况、工程形象进度等数据报送我委对口处室，并做好项目审批、施工、采购、财务账目、合同签订等各环节文件归档整理。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仿宋_GB2312" w:cs="Times New Roman"/>
          <w:b w:val="0"/>
          <w:spacing w:val="-4"/>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我</w:t>
      </w:r>
      <w:r>
        <w:rPr>
          <w:rFonts w:hint="eastAsia" w:eastAsia="仿宋_GB2312" w:cs="Times New Roman"/>
          <w:sz w:val="32"/>
          <w:szCs w:val="32"/>
          <w:lang w:eastAsia="zh-CN"/>
        </w:rPr>
        <w:t>单位</w:t>
      </w:r>
      <w:r>
        <w:rPr>
          <w:rFonts w:hint="default" w:ascii="Times New Roman" w:hAnsi="Times New Roman" w:eastAsia="仿宋_GB2312" w:cs="Times New Roman"/>
          <w:sz w:val="32"/>
          <w:szCs w:val="32"/>
        </w:rPr>
        <w:t>对上述项目支出绩效评价报告内反映内容的真实性、完整性负责，接受上级部门及社会公众监督。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仿宋_GB2312" w:cs="Times New Roman"/>
          <w:b w:val="0"/>
          <w:spacing w:val="-4"/>
          <w:sz w:val="32"/>
          <w:szCs w:val="32"/>
        </w:rPr>
      </w:pPr>
    </w:p>
    <w:sectPr>
      <w:footerReference r:id="rId3" w:type="default"/>
      <w:pgSz w:w="11906" w:h="16838"/>
      <w:pgMar w:top="2098" w:right="1531" w:bottom="1984"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4DF2A16"/>
    <w:rsid w:val="0CB44F22"/>
    <w:rsid w:val="0D6E8A96"/>
    <w:rsid w:val="3FDEA412"/>
    <w:rsid w:val="4D2606A1"/>
    <w:rsid w:val="59D99B69"/>
    <w:rsid w:val="67BF968B"/>
    <w:rsid w:val="6B6F1836"/>
    <w:rsid w:val="74DAB9FA"/>
    <w:rsid w:val="7F7F0075"/>
    <w:rsid w:val="7FF6B142"/>
    <w:rsid w:val="AF7E7AFD"/>
    <w:rsid w:val="BFFFC70E"/>
    <w:rsid w:val="CBE7E2DD"/>
    <w:rsid w:val="D2BBA3BC"/>
    <w:rsid w:val="DDEE3784"/>
    <w:rsid w:val="E9E98893"/>
    <w:rsid w:val="EB7D0B89"/>
    <w:rsid w:val="EE6FA25E"/>
    <w:rsid w:val="F66F11B0"/>
    <w:rsid w:val="FCCC3D1F"/>
    <w:rsid w:val="FCFB8C86"/>
    <w:rsid w:val="FE3F0E99"/>
    <w:rsid w:val="FE7F2507"/>
    <w:rsid w:val="FFBAC62E"/>
    <w:rsid w:val="FFFFA5F0"/>
    <w:rsid w:val="FFFFF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9</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2018-08-17T10:06:00Z</dcterms:created>
  <dc:creator>赵 恺（预算处）</dc:creator>
  <cp:lastModifiedBy>fgw</cp:lastModifiedBy>
  <cp:lastPrinted>2019-01-02T18:56:00Z</cp:lastPrinted>
  <dcterms:modified xsi:type="dcterms:W3CDTF">2023-09-02T10:40:52Z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7ED93CFEA3B144D49B7CF06429283E28</vt:lpwstr>
  </property>
</Properties>
</file>