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w:t>
      </w:r>
      <w:r>
        <w:rPr>
          <w:rStyle w:val="18"/>
          <w:rFonts w:hint="default" w:ascii="Times New Roman" w:hAnsi="Times New Roman" w:eastAsia="仿宋_GB2312" w:cs="Times New Roman"/>
          <w:spacing w:val="-4"/>
          <w:sz w:val="32"/>
          <w:szCs w:val="32"/>
        </w:rPr>
        <w:t>2022</w:t>
      </w:r>
      <w:r>
        <w:rPr>
          <w:rFonts w:hint="default" w:ascii="Times New Roman" w:hAnsi="Times New Roman" w:eastAsia="仿宋_GB2312" w:cs="Times New Roman"/>
          <w:kern w:val="0"/>
          <w:sz w:val="32"/>
          <w:szCs w:val="32"/>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0" w:firstLineChars="0"/>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项目名称：</w:t>
      </w:r>
      <w:r>
        <w:rPr>
          <w:rStyle w:val="18"/>
          <w:rFonts w:hint="eastAsia" w:ascii="仿宋_GB2312" w:hAnsi="仿宋_GB2312" w:eastAsia="仿宋_GB2312" w:cs="仿宋_GB2312"/>
          <w:b w:val="0"/>
          <w:bCs w:val="0"/>
          <w:spacing w:val="-4"/>
          <w:sz w:val="28"/>
          <w:szCs w:val="28"/>
        </w:rPr>
        <w:t>发展和改革专项经费</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0" w:firstLineChars="0"/>
        <w:textAlignment w:val="auto"/>
        <w:rPr>
          <w:rStyle w:val="18"/>
          <w:rFonts w:hint="eastAsia" w:ascii="仿宋_GB2312" w:hAnsi="仿宋_GB2312" w:eastAsia="仿宋_GB2312" w:cs="仿宋_GB2312"/>
          <w:b w:val="0"/>
          <w:bCs w:val="0"/>
          <w:spacing w:val="-4"/>
          <w:sz w:val="28"/>
          <w:szCs w:val="28"/>
          <w:lang w:val="en-US" w:eastAsia="zh-CN"/>
        </w:rPr>
      </w:pPr>
      <w:r>
        <w:rPr>
          <w:rFonts w:hint="eastAsia" w:ascii="仿宋_GB2312" w:hAnsi="仿宋_GB2312" w:eastAsia="仿宋_GB2312" w:cs="仿宋_GB2312"/>
          <w:b w:val="0"/>
          <w:bCs w:val="0"/>
          <w:kern w:val="0"/>
          <w:sz w:val="28"/>
          <w:szCs w:val="28"/>
        </w:rPr>
        <w:t>实施单位（公章）：</w:t>
      </w:r>
      <w:r>
        <w:rPr>
          <w:rStyle w:val="18"/>
          <w:rFonts w:hint="eastAsia" w:ascii="仿宋_GB2312" w:hAnsi="仿宋_GB2312" w:eastAsia="仿宋_GB2312" w:cs="仿宋_GB2312"/>
          <w:b w:val="0"/>
          <w:bCs w:val="0"/>
          <w:spacing w:val="-4"/>
          <w:sz w:val="28"/>
          <w:szCs w:val="28"/>
        </w:rPr>
        <w:t>新疆维吾尔自治区发展和改革委员会</w:t>
      </w:r>
      <w:r>
        <w:rPr>
          <w:rStyle w:val="18"/>
          <w:rFonts w:hint="eastAsia" w:ascii="仿宋_GB2312" w:hAnsi="仿宋_GB2312" w:eastAsia="仿宋_GB2312" w:cs="仿宋_GB2312"/>
          <w:b w:val="0"/>
          <w:bCs w:val="0"/>
          <w:spacing w:val="-4"/>
          <w:sz w:val="28"/>
          <w:szCs w:val="28"/>
          <w:lang w:val="en-US" w:eastAsia="zh-CN"/>
        </w:rPr>
        <w:t>(本级）</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0" w:firstLineChars="0"/>
        <w:textAlignment w:val="auto"/>
        <w:rPr>
          <w:rStyle w:val="18"/>
          <w:rFonts w:hint="eastAsia" w:ascii="仿宋_GB2312" w:hAnsi="仿宋_GB2312" w:eastAsia="仿宋_GB2312" w:cs="仿宋_GB2312"/>
          <w:b w:val="0"/>
          <w:bCs w:val="0"/>
          <w:spacing w:val="-4"/>
          <w:sz w:val="28"/>
          <w:szCs w:val="28"/>
        </w:rPr>
      </w:pPr>
      <w:r>
        <w:rPr>
          <w:rFonts w:hint="eastAsia" w:ascii="仿宋_GB2312" w:hAnsi="仿宋_GB2312" w:eastAsia="仿宋_GB2312" w:cs="仿宋_GB2312"/>
          <w:b w:val="0"/>
          <w:bCs w:val="0"/>
          <w:kern w:val="0"/>
          <w:sz w:val="28"/>
          <w:szCs w:val="28"/>
        </w:rPr>
        <w:t>主管部门（公章）：</w:t>
      </w:r>
      <w:r>
        <w:rPr>
          <w:rStyle w:val="18"/>
          <w:rFonts w:hint="eastAsia" w:ascii="仿宋_GB2312" w:hAnsi="仿宋_GB2312" w:eastAsia="仿宋_GB2312" w:cs="仿宋_GB2312"/>
          <w:b w:val="0"/>
          <w:bCs w:val="0"/>
          <w:spacing w:val="-4"/>
          <w:sz w:val="28"/>
          <w:szCs w:val="28"/>
        </w:rPr>
        <w:t>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0" w:firstLineChars="0"/>
        <w:textAlignment w:val="auto"/>
        <w:rPr>
          <w:rFonts w:hint="eastAsia" w:ascii="仿宋_GB2312" w:hAnsi="仿宋_GB2312" w:eastAsia="仿宋_GB2312" w:cs="仿宋_GB2312"/>
          <w:b w:val="0"/>
          <w:bCs w:val="0"/>
          <w:spacing w:val="-4"/>
          <w:sz w:val="28"/>
          <w:szCs w:val="28"/>
        </w:rPr>
      </w:pPr>
      <w:r>
        <w:rPr>
          <w:rFonts w:hint="eastAsia" w:ascii="仿宋_GB2312" w:hAnsi="仿宋_GB2312" w:eastAsia="仿宋_GB2312" w:cs="仿宋_GB2312"/>
          <w:b w:val="0"/>
          <w:bCs w:val="0"/>
          <w:kern w:val="0"/>
          <w:sz w:val="28"/>
          <w:szCs w:val="28"/>
        </w:rPr>
        <w:t>项目负责人（签章）：</w:t>
      </w:r>
      <w:r>
        <w:rPr>
          <w:rStyle w:val="18"/>
          <w:rFonts w:hint="eastAsia" w:ascii="仿宋_GB2312" w:hAnsi="仿宋_GB2312" w:eastAsia="仿宋_GB2312" w:cs="仿宋_GB2312"/>
          <w:b w:val="0"/>
          <w:bCs w:val="0"/>
          <w:spacing w:val="-4"/>
          <w:sz w:val="28"/>
          <w:szCs w:val="28"/>
        </w:rPr>
        <w:t>张瑾</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0" w:firstLineChars="0"/>
        <w:textAlignment w:val="auto"/>
        <w:rPr>
          <w:rStyle w:val="18"/>
          <w:rFonts w:hint="eastAsia" w:ascii="仿宋_GB2312" w:hAnsi="仿宋_GB2312" w:eastAsia="仿宋_GB2312" w:cs="仿宋_GB2312"/>
          <w:b w:val="0"/>
          <w:bCs w:val="0"/>
          <w:spacing w:val="-4"/>
          <w:sz w:val="28"/>
          <w:szCs w:val="28"/>
        </w:rPr>
      </w:pPr>
      <w:r>
        <w:rPr>
          <w:rFonts w:hint="eastAsia" w:ascii="仿宋_GB2312" w:hAnsi="仿宋_GB2312" w:eastAsia="仿宋_GB2312" w:cs="仿宋_GB2312"/>
          <w:b w:val="0"/>
          <w:bCs w:val="0"/>
          <w:kern w:val="0"/>
          <w:sz w:val="28"/>
          <w:szCs w:val="28"/>
        </w:rPr>
        <w:t>填报时间：</w:t>
      </w:r>
      <w:r>
        <w:rPr>
          <w:rStyle w:val="18"/>
          <w:rFonts w:hint="eastAsia" w:ascii="仿宋_GB2312" w:hAnsi="仿宋_GB2312" w:eastAsia="仿宋_GB2312" w:cs="仿宋_GB2312"/>
          <w:b w:val="0"/>
          <w:bCs w:val="0"/>
          <w:spacing w:val="-4"/>
          <w:sz w:val="28"/>
          <w:szCs w:val="28"/>
        </w:rPr>
        <w:t>2023年03月03日</w:t>
      </w:r>
    </w:p>
    <w:p>
      <w:pPr>
        <w:spacing w:line="700" w:lineRule="exact"/>
        <w:ind w:firstLine="708" w:firstLineChars="236"/>
        <w:jc w:val="left"/>
        <w:rPr>
          <w:rFonts w:hint="default" w:ascii="Times New Roman" w:hAnsi="Times New Roman" w:eastAsia="仿宋_GB2312" w:cs="Times New Roman"/>
          <w:b w:val="0"/>
          <w:bCs w:val="0"/>
          <w:kern w:val="0"/>
          <w:sz w:val="30"/>
          <w:szCs w:val="30"/>
        </w:rPr>
      </w:pPr>
    </w:p>
    <w:p>
      <w:pPr>
        <w:spacing w:line="540" w:lineRule="exact"/>
        <w:rPr>
          <w:rStyle w:val="18"/>
          <w:rFonts w:hint="default" w:ascii="Times New Roman" w:hAnsi="Times New Roman" w:eastAsia="黑体" w:cs="Times New Roman"/>
          <w:b w:val="0"/>
          <w:spacing w:val="-4"/>
          <w:sz w:val="32"/>
          <w:szCs w:val="32"/>
        </w:rPr>
        <w:sectPr>
          <w:pgSz w:w="11906" w:h="16838"/>
          <w:pgMar w:top="2098" w:right="1531" w:bottom="1984" w:left="1531" w:header="851" w:footer="992" w:gutter="0"/>
          <w:pgNumType w:fmt="decimal"/>
          <w:cols w:space="425" w:num="1"/>
          <w:docGrid w:type="lines" w:linePitch="312" w:charSpace="0"/>
        </w:sectPr>
      </w:pP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一、基本情况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（一）项目概况及立项依据</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1.项目背景</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遵循财政部《项目支出绩效评价管理办法》（财预〔2020〕10号）和自治区财政厅《自治区财政支出绩效评价管理暂行办法》（新财预〔2018〕189号）等相关政策文件与规定，根据自治区党委、政府的工作部署，结合</w:t>
      </w:r>
      <w:r>
        <w:rPr>
          <w:rStyle w:val="18"/>
          <w:rFonts w:hint="default" w:ascii="Times New Roman" w:hAnsi="Times New Roman" w:eastAsia="仿宋_GB2312" w:cs="Times New Roman"/>
          <w:b w:val="0"/>
          <w:bCs/>
          <w:spacing w:val="-4"/>
          <w:sz w:val="32"/>
          <w:szCs w:val="32"/>
          <w:lang w:eastAsia="zh-CN"/>
        </w:rPr>
        <w:t>发展改革委</w:t>
      </w:r>
      <w:r>
        <w:rPr>
          <w:rStyle w:val="18"/>
          <w:rFonts w:hint="default" w:ascii="Times New Roman" w:hAnsi="Times New Roman" w:eastAsia="仿宋_GB2312" w:cs="Times New Roman"/>
          <w:b w:val="0"/>
          <w:bCs/>
          <w:spacing w:val="-4"/>
          <w:sz w:val="32"/>
          <w:szCs w:val="32"/>
        </w:rPr>
        <w:t>2022年实际工作安排和工作重点。自治区发展改革委作为自治区经济综合管理部门，主要承担研究拟订自治区经济和社会发展战略、规划和政策，固定资产投资等管理职能，为确保发展和改革事务的全面开展，保证部门正常运转，弥补基本支出经费拨款不足，发展和改革专项工作经费690万元。</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2.立项依据</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中共中央办公厅、国务院办公厅《关于推行法律顾问制度和公职律师公司律师制度的意见》；国务院关于同意设立“中国品牌日”的批复；用于开展基本建设投资、重大项目前期费、自治区全社会节能减排专项资金及委属各单位项目经费绩效评价、监控等工作开展；为贯彻落实自治区党委关于做好政务公开和对外宣传工作的有关要求，依据《自治区发展改革委关于印发&lt;新疆维吾尔自治区发展和改革委员会政务微信管理暂行办法&gt;的通知》（新发改政研〔2021〕367号）；《国家发展改革委关于“十四五”时期深化价格机制改革行动方案的通知》（发改价格〔2021〕689号）中明确指出加强农产品成本调查工作，为制定价格政策提供支撑；《国家发展改革委关于全面加强新形势下农产品成本调查工作的通知》（发改价格〔2021〕53号）要求进一步提高我区农本调查工作质量和水平，更好地促进农业提质增效，服务农业农村现代发展；根据财政部、国家发展改革委《关于印发&lt;农产品成本调查补助资金使用管理办法&gt;的通知》（财建〔2003〕237号）要求，农产品成本调查补助资金是中央和地方财政在预算上安排的专项补助资金，用于农产品成本调查工作;《政府制定价格成本监审办法》（国家发展改革委令第8号）中明确指出成本监审工作所需经费，纳入本部门年度同级财政预算；国家发展改革委、财政部印发《关于取消收费许可证制度加强事中事后监管的通知》（发改价格〔2015〕36号），在全国范围内取消办理《收费许可证》和审验制度，要求各省（区、市）发展改革委建立收费公示制度、收费信息统计报告制度</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加强经济监测预测预警能力建设，完善高频度多维度的重点领域监测体系</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2.主要内容及实施情况</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发展和改革专项经费主要内容：为履行自治区发展改革委职能，实施一带一路政策研究专项、农产品成本调查与成本监审、组织2022年度中国品牌日活动，以加强政策引导，提高价格管理水平，促进经贸发展；聘请第三方实施预算绩效管理，以做好年度绩效管理工作，提高预算绩效管理水平，确保发展改革委各项工作正常进行。</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实施情况：切实履行自治区发展改革委职能，实施一带一路政策研究专项、农产品成本调查与成本监审，因2022年疫情原因未组织2022年度中国品牌日活动，提高了价格管理水平，促进了经贸发展；聘请第三方实施预算绩效管理，有效提高我委年度绩效管理工作，2022年发展改革委各项工作正常进行。</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项目负责人为张瑾，主要职责为做好发展和改革工作专项经费的申报、监控、绩效评价等工作，统筹协调委内各处室正常开展业务工作，协调解决经费使用过程中出现的问题，督促经费按要求合规使用。</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3.资金投入和使用情况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根据预算安排资金690万元，截至2022年12月31日，实际支出575.73万元，预算执行率83.44%。</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资金的到位情况：发展和改革专项经费预算资金总额690万元，足额拨付到位。</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资金的执行情况：发展和改革专项经费预算资金总额690万元，实际支出总额575.73万元，预算执行率83.44%。主要用于：人员支出4.9万元，日常公用经费支出570.83万元.</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使用制度：严格遵守资金使用相关规定、办法进行支付管理，按照《自治区发展改革委财务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实行专人管理、专户储存、专账核算、专项使用、专款专用，无擅自调项、扩项、缩项，及拆借、挪用、挤占和随意扣压；资金拨付动向，按专项资金的要求执行，未任意改变；特殊状况，按照请示审批执行。</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（二）项目绩效目标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1.项目绩效总目标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发展和改革专项经费项目绩效总目标为履行自治区发展改革委职能，实施一带一路政策研究专项、农产品成本调查与成本监审、组织2022年度中国品牌日活动，以加强政策引导，提高价格管理水平，促进经贸发展；聘请第三方实施预算绩效管理，以做好年度绩效管理工作，提高预算绩效管理水平，确保发展改革委各项工作正常进行。</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前期准备：项目实施前期严格熟读各项政策、相关制度及管理办法，按照部门职能、年度工作计划及实际调研情况申报项目，严格执行单位决策制度，进行项目的申报及审批，项目批复后及时成立相关工作小组，明确职责分工，制定项目实施方案及实施计划。组织实施：对经费类项目，严格按照计划内容支付资金，对采购类等其他类型项目严格按照政府采购制度进行，及时组织验收并归档相关过程性资料。在资金管理方面，项目资金到位足额及时，及时支付，资金使用符合国家法规和财务管理制度；资金拨付有完整的审批程序和手续，符合项目预算批复或合同规定的用途；不存在截留、挤占、挪用、虚列支出等情况。在项目组织实施方面，财务和业务管理制度合法、合规、完整。项目实施遵守相关法律法规和相关管理规定。项目支出手续完备，项目资料齐全并及时归档。同时注重长效机制的建立，着眼项目长期效益的发挥，制定项目后期管理措施。</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二、绩效评价工作开展情况</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（一）绩效评价目的、对象和范围</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1.绩效评价目的</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本次绩效评价以2022年发展和改革专项</w:t>
      </w:r>
      <w:r>
        <w:rPr>
          <w:rStyle w:val="18"/>
          <w:rFonts w:hint="eastAsia" w:eastAsia="仿宋_GB2312" w:cs="Times New Roman"/>
          <w:b w:val="0"/>
          <w:bCs/>
          <w:spacing w:val="-4"/>
          <w:sz w:val="32"/>
          <w:szCs w:val="32"/>
          <w:lang w:eastAsia="zh-CN"/>
        </w:rPr>
        <w:t>经费</w:t>
      </w:r>
      <w:r>
        <w:rPr>
          <w:rStyle w:val="18"/>
          <w:rFonts w:hint="default" w:ascii="Times New Roman" w:hAnsi="Times New Roman" w:eastAsia="仿宋_GB2312" w:cs="Times New Roman"/>
          <w:b w:val="0"/>
          <w:bCs/>
          <w:spacing w:val="-4"/>
          <w:sz w:val="32"/>
          <w:szCs w:val="32"/>
        </w:rPr>
        <w:t>所对应的预算资金支出为对象，以项目实施所带来的产出和效果为主要内容，以促进预算单位完成特定工作任务目标所组织开展的绩效评价。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本次评价范围涵盖项目总体绩效目标、各项绩效指标完成情况以及预算执行情况。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（二）绩效评价原则、评价指标体系、评价方法评价标准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本次绩效评价遵循的原则包括：</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2.绩效评价指标体系</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绩效评价指标体系根据《预算绩效评价共性指标体系框架》（财预〔2013〕53号）《自治区党委 自治区人民政府关于全面实施预算绩效管理的实施意见》（新党发〔2018〕30号）《项目支出绩效评价管理办法》（财预〔2020〕10号）等文件精神，结合专项特点，在与专家组、项目充分协商的基础上，评价工作组细化了该项目的绩效评价指标体系：</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一级指标为：决策、过程、产出、效益。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3.绩效评价方法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本次绩效评价方法的选用坚持简便有效的原则采用综合分析法。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4.绩效评价标准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（三）绩效评价工作过程</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一阶段：前期准备（2月1日至2月4日）。我单位绩效评价人员根据《项目支出绩效评价管理办法》（财预〔2020〕10号）文件精神认真学习相关要求与规定，成立绩效评价工作组，作为绩效评价工作具体实施机构。成员构成如下：张瑾任评价组组长，绩效评价工作职责为负责全盘工作</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房立雯任评价组副组长，绩效评价工作职责为对项目实施情况进行数据调度</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谭怡然任评价组成员，绩效评价工作职责为对项目数据进行处理、分析</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贾燕任评价组成员，绩效评价工作职责为负责资料审核等工作。</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第二阶段：组织实施（2月5日至2月17日）。经评价组通过实地调研、查阅资料等方式，采用综合分析法对项目的决策、管理、绩效进行的综合评价分析。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第三阶段：分析评价（2月18日至2月28日）。首先按照指标体系进行定量、定性分析。其次开展量化打分、综合评价工作，形成初步评价结论。最后归纳整体项目情况与存在问题，撰写部门绩效评价报告。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第四阶段：撰写与提交评价报告（3月1日至3月4日）</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项目撰写绩效评价报告，按照财政局大平台绩效系统中统一格式和文本框架撰写绩效评价报告。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第五阶段：归集档案（3月5日至3月15日）</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建立和落实档案管理制度，将项目相关资料存档，包括但不限于：评价项目基本情况和相关文件、评价实施方案等相关档案。</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黑体" w:cs="Times New Roman"/>
          <w:b w:val="0"/>
          <w:bCs/>
          <w:spacing w:val="-4"/>
          <w:sz w:val="32"/>
          <w:szCs w:val="32"/>
        </w:rPr>
        <w:t>三、综合评价情况及评价结论</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rPr>
        <w:t>（一）综合评价情况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总体组织规范，完成了发展和改革专项经费的工作目标，有效规范了项目档案资料的整理，推动了发展和改革工作，产生社会效益。在项目决策方面，发展和改革专项经费立项依据充分，立项程序规范。项目管理方面，2022年本项目预算安排690万元，实际支出575.7</w:t>
      </w:r>
      <w:r>
        <w:rPr>
          <w:rStyle w:val="18"/>
          <w:rFonts w:hint="eastAsia" w:eastAsia="仿宋_GB2312" w:cs="Times New Roman"/>
          <w:b w:val="0"/>
          <w:bCs/>
          <w:spacing w:val="-4"/>
          <w:sz w:val="32"/>
          <w:szCs w:val="32"/>
          <w:lang w:val="en-US" w:eastAsia="zh-CN"/>
        </w:rPr>
        <w:t>3</w:t>
      </w:r>
      <w:r>
        <w:rPr>
          <w:rStyle w:val="18"/>
          <w:rFonts w:hint="default" w:ascii="Times New Roman" w:hAnsi="Times New Roman" w:eastAsia="仿宋_GB2312" w:cs="Times New Roman"/>
          <w:b w:val="0"/>
          <w:bCs/>
          <w:spacing w:val="-4"/>
          <w:sz w:val="32"/>
          <w:szCs w:val="32"/>
        </w:rPr>
        <w:t>万元，预算执行率83.44%。项目资金使用合规，项目财务管理制度健全，财务监控到位，所有资金支付均按照国库集中支付制度严格执行，现有项目管理制度执行情况良好。项目产出方面：数量指标执行规范，按照前期设定指标完成，因疫情原因为达到的指标，写明偏差原因分析及改进措施。项目效益方面：有效地保障了农产品成本调查数据的提供，有效地提高预算绩效管理水平，加强经济监测、预测能力的建设。</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rPr>
        <w:t>（二）综合评价结论</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经评价组通过实地调研、资料分析等方式，采用目标比较法对项目的决策、管理、绩效进行的综合评价分析，项目得分为80.1分，评价结果为良好。</w:t>
      </w:r>
    </w:p>
    <w:p>
      <w:pPr>
        <w:spacing w:line="540" w:lineRule="exact"/>
        <w:ind w:firstLine="640"/>
        <w:rPr>
          <w:rStyle w:val="18"/>
          <w:rFonts w:hint="default" w:ascii="Times New Roman" w:hAnsi="Times New Roman" w:eastAsia="黑体" w:cs="Times New Roman"/>
          <w:b w:val="0"/>
          <w:bCs/>
          <w:sz w:val="32"/>
          <w:szCs w:val="32"/>
        </w:rPr>
      </w:pPr>
      <w:r>
        <w:rPr>
          <w:rStyle w:val="18"/>
          <w:rFonts w:hint="default" w:ascii="Times New Roman" w:hAnsi="Times New Roman" w:eastAsia="黑体" w:cs="Times New Roman"/>
          <w:b w:val="0"/>
          <w:bCs/>
          <w:spacing w:val="-4"/>
          <w:sz w:val="32"/>
          <w:szCs w:val="32"/>
        </w:rPr>
        <w:t xml:space="preserve">四、绩效评价指标分析 </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（一）项目决策情况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项目决策类指标包括项目立项、绩效目标和资金投入三方面的内容，由6个三级指标构成，权重分为20分，实际得分20分，得分率为100%。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立项依据：本项目根据中共中央办公厅、国务院办公厅《关于推行法律顾问制度和公职律师公司律师制度的意见》；国务院关于同意设立“中国品牌日”的批复；用于开展基本建设投资、重大项目前期费、自治区全社会节能减排专项资金及委属各单位项目经费绩效评价、监控等工作开展；为贯彻落实自治区党委关于做好政务公开和对外宣传工作的有关要求，依据《自治区发展改革委关于印发&lt;新疆维吾尔自治区发展和改革委员会政务微信管理暂行办法&gt;的通知》（新发改政研〔2021〕367号）；《国家发展改革委关于“十四五”时期深化价格机制改革行动方案的通知》（发改价格〔2021〕689号）中明确指出加强农产品成本调查工作，为制定价格政策提供支撑；《国家发展改革委关于全面加强新形势下农产品成本调查工作的通知》（发改价格〔2021〕53号）要求进一步提高我区农本调查工作质量和水平，更好地促进农业提质增效，服务农业农村现代发展；根据财政部、国家发展改革委《关于印发&lt;农产品成本调查补助资金使用管理办法&gt;的通知》（财建〔2003〕237号）要求，农产品成本调查补助资金是中央和地方财政在预算上安排的专项补助资金，用于农产品成本调查工作;《政府制定价格成本监审办法》（国家发展改革委令第8号）中明确指出成本监审工作所需经费，纳入本部门年度同级财政预算；国家发展改革委、财政部印发《关于取消收费许可证制度 加强事中事后监管的通知》（发改价格〔2015〕36号），在全国范围内取消办理《收费许可证》和审验制度，要求各省（区、市）发展改革委建立收费公示制度、收费信息统计报告制度为依据立项，立项符合相关法规政策及部门职责，依据充分。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（2）立项程序规范性：项目按照规定的程序申请设立；审批文件、材料符合相关要求；项目前期已经过必要的可行性研究、绩效评估、集体决策。根据评分标准，该指标不扣分，得3分。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（3）绩效目标合理性：项目绩效目标合理，与实际工作内容密切相关；项目预期产出效益和效果符合正常的业绩水平；与预算确定的项目资金量相匹配。根据评分标准，该指标不扣分，得3分。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将项目绩效目标细化分解为具体的绩效指标；通过清晰、可衡量的指标值予以体现；与项目目标任务数相对应。项目根据相关文件要求设置了年初绩效目标，其中一级指标3个，二级指标6个，三级指标34个，定量指标29个，量化率85.29%。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项目在资金投入方面，预算编制经过科学论证、有明确标准，资金额度与年度目标相适应，项目预算编制科学、合理，项目预算资金分配有测算依据。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（6）资金分配合理性：资金分配与实际相适应，项目预算资金分配有测算依据。根据评分标准，该指标不扣分，得2分。</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（二）项目过程情况</w:t>
      </w:r>
      <w:r>
        <w:rPr>
          <w:rStyle w:val="18"/>
          <w:rFonts w:hint="default" w:ascii="Times New Roman" w:hAnsi="Times New Roman" w:eastAsia="楷体_GB2312" w:cs="Times New Roman"/>
          <w:b w:val="0"/>
          <w:bCs/>
          <w:spacing w:val="-4"/>
          <w:sz w:val="32"/>
          <w:szCs w:val="32"/>
        </w:rPr>
        <w:br w:type="textWrapping"/>
      </w:r>
      <w:r>
        <w:rPr>
          <w:rStyle w:val="18"/>
          <w:rFonts w:hint="default" w:ascii="Times New Roman" w:hAnsi="Times New Roman" w:eastAsia="楷体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项目过程类指标包括资金管理和组织实施两方面的内容，由5个三级指标构成，权重分为20分，实际得分19分，得分率为95%。</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（1）资金到位率：本项目预算资金690万元，实际到位资金690万元，到位率100%。根据评分标准，该指标不扣分，得2分。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（2）预算执行率：预算编制较为详细，项目资金支出总体能够按照预算执行。预算资金690万元，预算执行575.73万元，预算执行率83.44%。根据评分标准，得4分。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在资金管理方面，项目资金足额及时到位，并及时支付，资金使用符合《中华人民共和国预算法》等国家法规和财务管理制度；资金拨付有完整的审批程序和手续，符合项目预算批复或合同规定的用途；不存在截留、挤占、挪用、虚列支出等情况。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在项目组织实施方面，项目根据财预〔2020〕10号和自治区财政厅《自治区财政支出绩效评价管理暂行办法》（新财预〔2018〕189号）等相关政策与规定进行分配，依据充分，合理合规。按照《政府会计制度》《自治区发展和改革委员会财务管理制度》等实施。项目合法合规，实施中部分涉及合同签订，项目合同书及相关技术资料、考核的数据资料齐全。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由单位提出经费预算支出可行性方案，经过与分管领导请示后，报主管部门会议研究执行，财务对资金的使用合法合规性进行监督，年底对资金使用效果进行自评，根据评分标准，该指标不扣分，得4分。</w:t>
      </w:r>
    </w:p>
    <w:p>
      <w:pPr>
        <w:spacing w:line="540" w:lineRule="exact"/>
        <w:ind w:firstLine="564" w:firstLineChars="181"/>
        <w:rPr>
          <w:rFonts w:hint="default" w:ascii="Times New Roman" w:hAnsi="Times New Roman" w:eastAsia="楷体_GB2312" w:cs="Times New Roman"/>
          <w:b w:val="0"/>
          <w:bCs/>
          <w:spacing w:val="-4"/>
          <w:sz w:val="32"/>
          <w:szCs w:val="32"/>
        </w:rPr>
      </w:pPr>
      <w:r>
        <w:rPr>
          <w:rFonts w:hint="default" w:ascii="Times New Roman" w:hAnsi="Times New Roman" w:eastAsia="楷体_GB2312" w:cs="Times New Roman"/>
          <w:b w:val="0"/>
          <w:bCs/>
          <w:spacing w:val="-4"/>
          <w:sz w:val="32"/>
          <w:szCs w:val="32"/>
        </w:rPr>
        <w:t>（三）项目产出情况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项目产出指标包括数量指标、质量指标、时效指标、产成本指标四方面的内容，由25个三级指标构成，权重分为30分，实际得分22.6分，得分率为75%。</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农产品成本调查覆盖产品种类36类，实际完成值36类，与预期目标一致，根据评分标准，该指标不扣分，得0.7分。组织2022年中国品牌日活动次数1次，实际完成值0次，偏差率为100% ，偏差原因：因疫情原因未组织2022年品牌日，根据评分标准，该指标0.6分，得0分。支持一带一路政策研究专项1项，实际完成值1项，与预期目标一致，根据评分标准，该指标不扣分，得0.7分。聘请第三方实施预算绩效管理1个，实际完成值1个，与预期目标一致，根据评分标准，该指标不扣分，得0.6分。成本价格监审项目4个，实际完成值4个，与预期目标一致，根据评分标准，该指标不扣分，得0.6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rPr>
        <w:t>举办活动天数3天，实际完成值0天，偏差率为100% ，偏差原因：因疫情原因未组织2022年品牌日，根据评分标准，该指标扣0.6分，得0分。参加活动人数35人，实际完成值0人，偏差率为100%，偏差原因：因疫情原因未组织2022年品牌日，根据评分标准，该指标扣0.6分，得0分。援疆干部补助人员人数4人，实际完成值4人，与预期目标一致，根据评分标准，该指标不扣分，得0.6分。援疆干部补助人员次数12次，实际完成值12次，与预期目标一致，根据评分标准，该指标不扣分，得0.6分。完成调研报告或课题研究数量，发表专刊、专著等数量2个，实际完成值2个，与预期目标一致，根据评分标准，该指标不扣分，得0.6分。提出建议、意见数量6个，实际完成值0个，偏差率为100% ，偏差原因：未提出建议、意见。根据评分标准，该指标扣0.6分，得0分。政府购买服务数量1项，实际完成值1项，与预期目标一致，根据评分标准，该指标不扣分，得0.6分。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指标合计8分，实际得分5.6分。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一带一路研究成果评审合格率100%，实际完成值100%，与预期目标一致，根据评分标准，该指标不扣分，得1.6分。农产品成本调查与成本监审工作完成率100%，实际完成值100%，与预期目标一致，根据评分标准，该指标不扣分，得1.6分。2022年中国品牌日活动圆满完成率100%，完际完成值0次，偏差率为100%，偏差原因：因疫情原因未组织2022年品牌日，根据评分标准，该指标扣1.6分，得0分。补助发放准确率完成率100%，实际完成值100%，与预期目标一致，根据评分标准，该指标不扣分，得1.6分。聘请第三方实施预算绩效管理合格率100%，实际完成值100%，与预期目标一致，根据评分标准，该指标不扣分，得1.6分。</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指标合计8分，实际得分6.4分。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中国品牌日线下活动完成时间2022年12月31日，与预期目标指标不一致，偏差率为100%，偏差原因：因疫情原因未组织2022年品牌日，根据评分标准，该指标扣1.5分，得0分。活动按时完成率100%，与预期目标指标不一致，偏差率为100%，偏差原因：因疫情原因未组织2022年品牌日，根据评分标准，该指标扣1.5分，得0分补助发放及时率100%，完成率100%，与预期目标指标一致，根据评分标准，该指标不扣分，得1.5分</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农产品成本调查报告提交及时率100%，与预期目标指标一致，根据评分标准，该指标不扣分，得1.5分</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指标合计6分，实际得分3分。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对于“产出成本”：援疆干部每次发放补助资金数小于等于1000元/人，实际完成1000元/人，与预期目标指标一致，根据评分标准，该指标不扣分，得2分。预算绩效管理服务成本小于等于29万，实际完成29万，与预期目标指标一致，根据评分标准，该指标不扣分，得2分。政府购买服务小于等于240万，实际完成238.4万元，偏差原因为中标金额、招标代理服务费合计238.4万元，根据评分标准，该指标扣0.02分，得1.98分。专项业务经费小于等于415万，实际完成337.3万元，偏差原因为未举办品牌日活动、培训等，根据评分标准，该指标扣0.38分，得1.62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指标合计8分，实际得分7.6分。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（四）项目效益情况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项目效益类指标包括项目效益方面的内容，由5个三级指标构成，权重分为20分，实际得分12分，得分率为60%。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有效保障农产品成本调查数据的提供有效保障，实际完成值为有效保障，与预期指标一致，根据评分标准，该指标不扣分，得4分。预算绩效管理水平有效提高，实际完成值为有效提高，与预期指标一致，根据评分标准，该指标不扣分，得4分。一带一路政策研究成果刊发率100%，与预期目标指标不一致，偏差率为100%，偏差原因：研究成果正在校稿，未刊发。根据评分标准，该指标扣4分，得0分。提高我区自主品牌知名度刊发率100%，与预期目标指标不一致，偏差率为100%，偏差原因：因疫情原因未组织2022年品牌日，根据评分标准，该指标扣4分，得0分。加强经济监测、预测能力建设逐步加强，实际完成值为有效提高，与预期指标一致，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指标合计</w:t>
      </w:r>
      <w:r>
        <w:rPr>
          <w:rStyle w:val="18"/>
          <w:rFonts w:hint="eastAsia" w:eastAsia="仿宋_GB2312" w:cs="Times New Roman"/>
          <w:b w:val="0"/>
          <w:bCs/>
          <w:spacing w:val="-4"/>
          <w:sz w:val="32"/>
          <w:szCs w:val="32"/>
          <w:lang w:val="en-US" w:eastAsia="zh-CN"/>
        </w:rPr>
        <w:t>20</w:t>
      </w:r>
      <w:r>
        <w:rPr>
          <w:rStyle w:val="18"/>
          <w:rFonts w:hint="default" w:ascii="Times New Roman" w:hAnsi="Times New Roman" w:eastAsia="仿宋_GB2312" w:cs="Times New Roman"/>
          <w:b w:val="0"/>
          <w:bCs/>
          <w:spacing w:val="-4"/>
          <w:sz w:val="32"/>
          <w:szCs w:val="32"/>
        </w:rPr>
        <w:t>分，实际得分</w:t>
      </w:r>
      <w:r>
        <w:rPr>
          <w:rStyle w:val="18"/>
          <w:rFonts w:hint="eastAsia" w:eastAsia="仿宋_GB2312" w:cs="Times New Roman"/>
          <w:b w:val="0"/>
          <w:bCs/>
          <w:spacing w:val="-4"/>
          <w:sz w:val="32"/>
          <w:szCs w:val="32"/>
          <w:lang w:val="en-US" w:eastAsia="zh-CN"/>
        </w:rPr>
        <w:t>12</w:t>
      </w:r>
      <w:r>
        <w:rPr>
          <w:rStyle w:val="18"/>
          <w:rFonts w:hint="default" w:ascii="Times New Roman" w:hAnsi="Times New Roman" w:eastAsia="仿宋_GB2312" w:cs="Times New Roman"/>
          <w:b w:val="0"/>
          <w:bCs/>
          <w:spacing w:val="-4"/>
          <w:sz w:val="32"/>
          <w:szCs w:val="32"/>
        </w:rPr>
        <w:t>分。</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Fonts w:hint="default" w:ascii="Times New Roman" w:hAnsi="Times New Roman" w:eastAsia="楷体_GB2312" w:cs="Times New Roman"/>
          <w:b w:val="0"/>
          <w:bCs/>
          <w:spacing w:val="-4"/>
          <w:sz w:val="32"/>
          <w:szCs w:val="32"/>
        </w:rPr>
        <w:t>（五）满意度指标完成情况分析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满意度指标：参加活动人员满意度100%，与预期目标不一致，根据评分标准，该指标扣2.5分,得0分。补助人员满意度大于等于90%，实际完成值95%，与预期目标一致，根据评分标准，该指标得2.5分。评审专家满意度大于等于90%，实际完成值95%，与预期目标一致，根据评分标准，该指标得2.5分。发改委绩效工作人员满意度大于等于90%，实际完成值95%，与预期目标一致，根据评分标准，该指标得2.5分。</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五</w:t>
      </w:r>
      <w:r>
        <w:rPr>
          <w:rStyle w:val="18"/>
          <w:rFonts w:hint="default" w:ascii="Times New Roman" w:hAnsi="Times New Roman" w:eastAsia="黑体" w:cs="Times New Roman"/>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（一）主要经验</w:t>
      </w:r>
      <w:bookmarkStart w:id="0" w:name="_GoBack"/>
      <w:bookmarkEnd w:id="0"/>
      <w:r>
        <w:rPr>
          <w:rStyle w:val="18"/>
          <w:rFonts w:hint="default" w:ascii="Times New Roman" w:hAnsi="Times New Roman" w:eastAsia="楷体_GB2312" w:cs="Times New Roman"/>
          <w:b w:val="0"/>
          <w:bCs/>
          <w:spacing w:val="-4"/>
          <w:sz w:val="32"/>
          <w:szCs w:val="32"/>
        </w:rPr>
        <w:t>及做法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实施效果较好的原因主要是管理制度完善、责任落实到位，跟踪考核机制完善且运行有效，2022年在项目实施过程中严格执行年初预算，使资金使用效益最大化，减少浪费，节约成本，较好完成了项目，有效保障委机关工作的正常开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rPr>
        <w:t>（二）存在问题及原因分析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预算管理水平有待提高。一是预算意识有待提高，预算编制仍存在准备不足、人员紧张、预算编制不够细化和准确等问题；二是预算执行力度不足，本年度受疫情防控影响，项目的部分实施有所延缓，导致后期施工紧张，部分工作未及时开展。造成了部分资源没有得到高效利用，资金利用效率有待提高。绩效管理能力有待加强。一是预算绩效管理理念有待加强。全面实施绩效管理工作以来，虽然我委在不断学习绩效管理，但对预算绩效管理的核心理念尚未完全形成，主动性发挥不够，对项目绩效管理制度建设不完善，绩效管理理念有待进一步加强。二是预算绩效管理制度有待完善。全面实施绩效管理以来，虽然我委结合工作实际制定了四个暂行办法，但是在实际执行中发现，有些制度制定的不够细化，实践指导性不强，仍需在执行中不断总结，不断修改完善制度。三是自评工作质量有待提高。绩效目标在设定时不够全面体系，绩效自评方法单一，部分评价指标在具体实施过程中难以收集到资料，同时相关人员缺乏绩效工作经验等，造成自评价质量不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六</w:t>
      </w:r>
      <w:r>
        <w:rPr>
          <w:rStyle w:val="18"/>
          <w:rFonts w:hint="default" w:ascii="Times New Roman" w:hAnsi="Times New Roman" w:eastAsia="黑体" w:cs="Times New Roman"/>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加强预算资金管理。加强预算编制的前期调研，提高预算编制准确性，严格预算执行管理，减少预算资金使用的随意性，对预算的事前、事中、事后进行全过程控制，加大对预算编制与执行的监督管理力度，提高预算资金使用效率。同时，提高财务人员和项目处室人员对预算资金使用效益的认识，把预算资金是否发挥使用效益与各岗位是否履职尽责相结合，将预算资金使用的效率和效益作为对各岗位人员工作考核评价的重要内容之一。精细测算支出额度，把需求核准核实，充分发挥财政资金的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加强绩效管理。加强业务培训，强化绩效管理理念。认真学习中央、自治区关于预算绩效管理的文件，深入领会文件精神，提高政治站位，充分认识全面实施预算绩效管理工作的重大意义，牢固树立预算绩效管理理念。提升组织领导，梳理绩效目标体系。加强我委预算绩效管理的组织领导，切实转变思想观念，牢固树立绩效管理意识，全面梳理涉及发改事业的项目绩效目标，初步建立符合发展改革事业预算绩效指标体系。推动数据分析，提高评价结果运用。为全面推动预算绩效管理工作，需进一步加强对自评结果和决算数据的分析运用，提升预算管理的科学合理性。</w:t>
      </w:r>
    </w:p>
    <w:p>
      <w:pPr>
        <w:spacing w:line="540" w:lineRule="exact"/>
        <w:ind w:firstLine="567"/>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七</w:t>
      </w:r>
      <w:r>
        <w:rPr>
          <w:rStyle w:val="18"/>
          <w:rFonts w:hint="default" w:ascii="Times New Roman" w:hAnsi="Times New Roman" w:eastAsia="黑体" w:cs="Times New Roman"/>
          <w:b w:val="0"/>
          <w:bCs/>
          <w:spacing w:val="-4"/>
          <w:sz w:val="32"/>
          <w:szCs w:val="32"/>
        </w:rPr>
        <w:t>、其他需要说明的问题</w:t>
      </w:r>
    </w:p>
    <w:p>
      <w:pPr>
        <w:keepNext w:val="0"/>
        <w:keepLines w:val="0"/>
        <w:widowControl w:val="0"/>
        <w:suppressLineNumbers w:val="0"/>
        <w:autoSpaceDE w:val="0"/>
        <w:autoSpaceDN/>
        <w:spacing w:before="0" w:beforeAutospacing="0" w:after="0" w:afterAutospacing="0" w:line="580" w:lineRule="exact"/>
        <w:ind w:left="0" w:right="0"/>
        <w:jc w:val="both"/>
        <w:rPr>
          <w:rFonts w:hint="default" w:ascii="Times New Roman" w:hAnsi="Times New Roman" w:eastAsia="仿宋_GB2312" w:cs="Times New Roman"/>
          <w:b w:val="0"/>
          <w:bCs/>
          <w:spacing w:val="0"/>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我单位对上述项目支出绩效评价报告内反映内容的真实性、完整性负责，接受上级部门及社会公众监督。</w:t>
      </w: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sectPr>
      <w:footerReference r:id="rId3" w:type="default"/>
      <w:pgSz w:w="11906" w:h="16838"/>
      <w:pgMar w:top="2098" w:right="1531" w:bottom="1984"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FBF7F86"/>
    <w:rsid w:val="4D2606A1"/>
    <w:rsid w:val="4FBD04B5"/>
    <w:rsid w:val="52156288"/>
    <w:rsid w:val="673613D2"/>
    <w:rsid w:val="7B7F0A37"/>
    <w:rsid w:val="7F9FCBDD"/>
    <w:rsid w:val="7FDA3B33"/>
    <w:rsid w:val="DBDFA31F"/>
    <w:rsid w:val="EBC92377"/>
    <w:rsid w:val="F1CE157D"/>
    <w:rsid w:val="FF7FF3C5"/>
    <w:rsid w:val="FFDF5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 w:type="character" w:customStyle="1" w:styleId="46">
    <w:name w:val="15"/>
    <w:basedOn w:val="17"/>
    <w:qFormat/>
    <w:uiPriority w:val="0"/>
    <w:rPr>
      <w:rFonts w:hint="default" w:ascii="Calibri" w:hAnsi="Calibri" w:cs="Calibri"/>
      <w:b/>
      <w:bCs/>
    </w:rPr>
  </w:style>
  <w:style w:type="character" w:customStyle="1" w:styleId="47">
    <w:name w:val="10"/>
    <w:basedOn w:val="17"/>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Words>
  <Characters>648</Characters>
  <Lines>1</Lines>
  <Paragraphs>1</Paragraphs>
  <TotalTime>0</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fgw</cp:lastModifiedBy>
  <cp:lastPrinted>2019-01-01T18:56:00Z</cp:lastPrinted>
  <dcterms:modified xsi:type="dcterms:W3CDTF">2023-09-01T15:24:37Z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A083CF5E4FC32186375BF1642505A893</vt:lpwstr>
  </property>
</Properties>
</file>