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2022</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left"/>
        <w:textAlignment w:val="auto"/>
        <w:rPr>
          <w:rFonts w:hint="default" w:ascii="Times New Roman" w:hAnsi="Times New Roman" w:eastAsia="仿宋_GB2312" w:cs="Times New Roman"/>
          <w:b w:val="0"/>
          <w:bCs w:val="0"/>
          <w:kern w:val="0"/>
          <w:sz w:val="28"/>
          <w:szCs w:val="28"/>
        </w:rPr>
      </w:pPr>
      <w:r>
        <w:rPr>
          <w:rFonts w:hint="default" w:ascii="Times New Roman" w:hAnsi="Times New Roman" w:eastAsia="仿宋_GB2312" w:cs="Times New Roman"/>
          <w:b w:val="0"/>
          <w:bCs w:val="0"/>
          <w:kern w:val="0"/>
          <w:sz w:val="28"/>
          <w:szCs w:val="28"/>
          <w:lang w:val="en-US" w:eastAsia="zh-CN"/>
        </w:rPr>
        <w:t xml:space="preserve">    </w:t>
      </w:r>
      <w:r>
        <w:rPr>
          <w:rFonts w:hint="default" w:ascii="Times New Roman" w:hAnsi="Times New Roman" w:eastAsia="仿宋_GB2312" w:cs="Times New Roman"/>
          <w:b w:val="0"/>
          <w:bCs w:val="0"/>
          <w:kern w:val="0"/>
          <w:sz w:val="28"/>
          <w:szCs w:val="28"/>
        </w:rPr>
        <w:t>项目名称：</w:t>
      </w:r>
      <w:r>
        <w:rPr>
          <w:rStyle w:val="18"/>
          <w:rFonts w:hint="default" w:ascii="Times New Roman" w:hAnsi="Times New Roman" w:eastAsia="仿宋_GB2312" w:cs="Times New Roman"/>
          <w:b w:val="0"/>
          <w:bCs w:val="0"/>
          <w:spacing w:val="-4"/>
          <w:sz w:val="28"/>
          <w:szCs w:val="28"/>
        </w:rPr>
        <w:t>能源工作专项经费</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lang w:val="en-US" w:eastAsia="zh-CN"/>
        </w:rPr>
        <w:t xml:space="preserve">    </w:t>
      </w:r>
      <w:r>
        <w:rPr>
          <w:rFonts w:hint="default" w:ascii="Times New Roman" w:hAnsi="Times New Roman" w:eastAsia="仿宋_GB2312" w:cs="Times New Roman"/>
          <w:b w:val="0"/>
          <w:bCs w:val="0"/>
          <w:kern w:val="0"/>
          <w:sz w:val="28"/>
          <w:szCs w:val="28"/>
        </w:rPr>
        <w:t>实施单位（公章）：</w:t>
      </w:r>
      <w:r>
        <w:rPr>
          <w:rStyle w:val="18"/>
          <w:rFonts w:hint="default" w:ascii="Times New Roman" w:hAnsi="Times New Roman" w:eastAsia="仿宋_GB2312" w:cs="Times New Roman"/>
          <w:b w:val="0"/>
          <w:bCs w:val="0"/>
          <w:spacing w:val="-4"/>
          <w:sz w:val="28"/>
          <w:szCs w:val="28"/>
        </w:rPr>
        <w:t>新疆维吾尔自治区发展和改革委员会（</w:t>
      </w:r>
      <w:r>
        <w:rPr>
          <w:rStyle w:val="18"/>
          <w:rFonts w:hint="default" w:ascii="Times New Roman" w:hAnsi="Times New Roman" w:eastAsia="仿宋_GB2312" w:cs="Times New Roman"/>
          <w:b w:val="0"/>
          <w:bCs w:val="0"/>
          <w:spacing w:val="-4"/>
          <w:sz w:val="28"/>
          <w:szCs w:val="28"/>
          <w:lang w:eastAsia="zh-CN"/>
        </w:rPr>
        <w:t>本级</w:t>
      </w:r>
      <w:r>
        <w:rPr>
          <w:rStyle w:val="18"/>
          <w:rFonts w:hint="default" w:ascii="Times New Roman" w:hAnsi="Times New Roman" w:eastAsia="仿宋_GB2312" w:cs="Times New Roman"/>
          <w:b w:val="0"/>
          <w:bCs w:val="0"/>
          <w:spacing w:val="-4"/>
          <w:sz w:val="28"/>
          <w:szCs w:val="28"/>
        </w:rPr>
        <w:t>）</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lang w:val="en-US" w:eastAsia="zh-CN"/>
        </w:rPr>
        <w:t xml:space="preserve">    </w:t>
      </w:r>
      <w:r>
        <w:rPr>
          <w:rFonts w:hint="default" w:ascii="Times New Roman" w:hAnsi="Times New Roman" w:eastAsia="仿宋_GB2312" w:cs="Times New Roman"/>
          <w:b w:val="0"/>
          <w:bCs w:val="0"/>
          <w:kern w:val="0"/>
          <w:sz w:val="28"/>
          <w:szCs w:val="28"/>
        </w:rPr>
        <w:t>主管部门（公章）：</w:t>
      </w:r>
      <w:r>
        <w:rPr>
          <w:rStyle w:val="18"/>
          <w:rFonts w:hint="default" w:ascii="Times New Roman" w:hAnsi="Times New Roman" w:eastAsia="仿宋_GB2312" w:cs="Times New Roman"/>
          <w:b w:val="0"/>
          <w:bCs w:val="0"/>
          <w:spacing w:val="-4"/>
          <w:sz w:val="28"/>
          <w:szCs w:val="28"/>
        </w:rPr>
        <w:t>新疆维吾尔自治区发展和改革委员会</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lang w:val="en-US" w:eastAsia="zh-CN"/>
        </w:rPr>
        <w:t xml:space="preserve">    </w:t>
      </w:r>
      <w:r>
        <w:rPr>
          <w:rFonts w:hint="default" w:ascii="Times New Roman" w:hAnsi="Times New Roman" w:eastAsia="仿宋_GB2312" w:cs="Times New Roman"/>
          <w:b w:val="0"/>
          <w:bCs w:val="0"/>
          <w:kern w:val="0"/>
          <w:sz w:val="28"/>
          <w:szCs w:val="28"/>
        </w:rPr>
        <w:t>项目负责人（签章）：</w:t>
      </w:r>
      <w:r>
        <w:rPr>
          <w:rStyle w:val="18"/>
          <w:rFonts w:hint="default" w:ascii="Times New Roman" w:hAnsi="Times New Roman" w:eastAsia="仿宋_GB2312" w:cs="Times New Roman"/>
          <w:b w:val="0"/>
          <w:bCs w:val="0"/>
          <w:spacing w:val="-4"/>
          <w:sz w:val="28"/>
          <w:szCs w:val="28"/>
        </w:rPr>
        <w:t>姚垚</w:t>
      </w: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仿宋_GB2312" w:cs="Times New Roman"/>
          <w:b w:val="0"/>
          <w:bCs w:val="0"/>
          <w:spacing w:val="-4"/>
          <w:sz w:val="28"/>
          <w:szCs w:val="28"/>
        </w:rPr>
      </w:pPr>
      <w:r>
        <w:rPr>
          <w:rFonts w:hint="default" w:ascii="Times New Roman" w:hAnsi="Times New Roman" w:eastAsia="仿宋_GB2312" w:cs="Times New Roman"/>
          <w:b w:val="0"/>
          <w:bCs w:val="0"/>
          <w:kern w:val="0"/>
          <w:sz w:val="28"/>
          <w:szCs w:val="28"/>
          <w:lang w:val="en-US" w:eastAsia="zh-CN"/>
        </w:rPr>
        <w:t xml:space="preserve">    </w:t>
      </w:r>
      <w:r>
        <w:rPr>
          <w:rFonts w:hint="default" w:ascii="Times New Roman" w:hAnsi="Times New Roman" w:eastAsia="仿宋_GB2312" w:cs="Times New Roman"/>
          <w:b w:val="0"/>
          <w:bCs w:val="0"/>
          <w:kern w:val="0"/>
          <w:sz w:val="28"/>
          <w:szCs w:val="28"/>
        </w:rPr>
        <w:t>填报时间：</w:t>
      </w:r>
      <w:r>
        <w:rPr>
          <w:rStyle w:val="18"/>
          <w:rFonts w:hint="default" w:ascii="Times New Roman" w:hAnsi="Times New Roman" w:eastAsia="仿宋_GB2312" w:cs="Times New Roman"/>
          <w:b w:val="0"/>
          <w:bCs w:val="0"/>
          <w:spacing w:val="-4"/>
          <w:sz w:val="28"/>
          <w:szCs w:val="28"/>
        </w:rPr>
        <w:t>2023年03月16日</w:t>
      </w:r>
    </w:p>
    <w:p>
      <w:pPr>
        <w:keepNext w:val="0"/>
        <w:keepLines w:val="0"/>
        <w:pageBreakBefore w:val="0"/>
        <w:widowControl w:val="0"/>
        <w:kinsoku/>
        <w:wordWrap/>
        <w:overflowPunct/>
        <w:topLinePunct w:val="0"/>
        <w:autoSpaceDE/>
        <w:autoSpaceDN/>
        <w:bidi w:val="0"/>
        <w:adjustRightInd/>
        <w:snapToGrid/>
        <w:spacing w:line="580" w:lineRule="exact"/>
        <w:ind w:firstLine="708" w:firstLineChars="236"/>
        <w:jc w:val="left"/>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黑体" w:cs="Times New Roman"/>
          <w:b w:val="0"/>
          <w:bCs/>
          <w:spacing w:val="-4"/>
          <w:sz w:val="32"/>
          <w:szCs w:val="32"/>
        </w:rPr>
      </w:pPr>
      <w:r>
        <w:rPr>
          <w:rStyle w:val="18"/>
          <w:rFonts w:hint="default" w:ascii="Times New Roman" w:hAnsi="Times New Roman" w:eastAsia="黑体" w:cs="Times New Roman"/>
          <w:b w:val="0"/>
          <w:bCs/>
          <w:spacing w:val="-4"/>
          <w:sz w:val="32"/>
          <w:szCs w:val="32"/>
          <w:lang w:val="en-US" w:eastAsia="zh-CN"/>
        </w:rPr>
        <w:t xml:space="preserve">    </w:t>
      </w:r>
      <w:r>
        <w:rPr>
          <w:rStyle w:val="18"/>
          <w:rFonts w:hint="default" w:ascii="Times New Roman" w:hAnsi="Times New Roman" w:eastAsia="黑体"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楷体_GB2312" w:cs="Times New Roman"/>
          <w:b w:val="0"/>
          <w:bCs/>
          <w:spacing w:val="-4"/>
          <w:sz w:val="32"/>
          <w:szCs w:val="32"/>
        </w:rPr>
      </w:pPr>
      <w:r>
        <w:rPr>
          <w:rStyle w:val="18"/>
          <w:rFonts w:hint="default" w:ascii="Times New Roman" w:hAnsi="Times New Roman" w:eastAsia="楷体_GB2312"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1.项目背景</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能源工作专项经费遵循财政部《项目支出绩效评价管理办法》（财预〔2020〕10号）和自治区财政厅《自治区财政支出绩效评价管理暂行办法》（新财预〔2018〕189号）等相关政策文件与规定，根据《自治区党委办公厅 自治区人民政府办公厅关于印发〈新疆维吾尔自治区发展和改革委员会职能配置、内设机构和人员编制规定〉的通知》（新党厅字〔2019〕56号）《安全生产法》《中华人民共和国电力法》《中华人民共和国油气管道保护法》《电力设施保护条例》《电力监管条例》《电力建设工程质量监督规定》等文件有关要求立项。</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2.主要内容及实施情况</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主要内容：能源工作专项经费的主管部门为和实施单位均为自治区发展和改革委员会，用于能源方面9个处室依法依规履行部门职责、正常开展业务工作产生的支出，主要是差旅费、专家费等支出</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实施情况：2022年，自治区能源工作贯彻新发展理念，坚持稳中求进工作总基调，统筹推进疫情防控和经济社会发展，统筹发展和安全，以供给侧结构性改革为主线，围绕国家“三基地一通道”建设，加强规划和政策引领，做好能源发展“十四五”规划编制印发工作；进一步优化煤炭产业结构，加快释放煤炭优质产能；不断建强完善全区750千伏主干网架，全面提升电网配置资源能力；聚焦能源领域改革创新，深入推进电力、油气体制改革；持续加大能源惠民力度，有序推进煤改电二期及农网巩固提升工程实施；坚持底线思维，压实责任，加大监管执法力度，扎实做好油气管道保护和电力安全监管，确保能源领域安全形势稳定向好。</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3.项目实施主体</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能源各处室主要职能为：能源发展协调处：拟订并组织实施自治区能源中长期发展规划、年度计划，组织协调能源督查工作，统筹协调自治区能源重大项目及创新型项目实施。能源政策和体制改革处：拟订并组织实施自治区能源体制改革中长期规划，指导能源体制改革试点，统筹协调能源体制改革进程中的重大问题。煤炭处：拟订实施自治区煤炭、煤层气的发展规划、计划、产业政策，组织开展自治区煤炭产业结构调整、产能公告登记等有关工作。电力处：拟订实施自治区电力、电网发展规划、计划、政策，组织开展自治区电力体制改革。石油天然气处：拟订实施自治区石油（包括油砂、页岩油等非常规石油）、天然气（包括页岩气等非常规天然气）勘探开发及炼油、管道发展规划、计划、政策。能源科技装备处：拟订实施自治区能源科技装备、煤制燃料、燃料乙醇等发展规划、计划、政策。新能源和可再生能源处：拟订实施自治区新能源、水能、生物质能和其他可再生能源发展规划、计划、政策、准入标准、技术规范。能源监督管理处：承担自治区石油、天然气输送管道保护工作，参与制定自治区煤矿安全生产政策、标准，统筹做好煤炭、电力相关安全监督管理工作。</w:t>
      </w:r>
      <w:r>
        <w:rPr>
          <w:rStyle w:val="18"/>
          <w:rFonts w:hint="default" w:ascii="Times New Roman" w:hAnsi="Times New Roman" w:eastAsia="仿宋_GB2312" w:cs="Times New Roman"/>
          <w:b w:val="0"/>
          <w:bCs/>
          <w:spacing w:val="-4"/>
          <w:sz w:val="32"/>
          <w:szCs w:val="32"/>
        </w:rPr>
        <w:br w:type="textWrapping"/>
      </w:r>
      <w:r>
        <w:rPr>
          <w:rStyle w:val="18"/>
          <w:rFonts w:hint="default" w:ascii="Times New Roman" w:hAnsi="Times New Roman"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负责人为姚垚，主要职责为研究制定自治区能源发展重大战略和政策建议；组织起草自治区能源管理的地方性法规和规章草案；拟定实施自治区能源发展总体规划、专项规划和年度计划；负责自治区重大能源项目的管理和组织协调；承担自治区石油、天然气管道保护；统筹做好煤矿、电力安全监督管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4.资金投入和使用情况</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根据自治区财政预算安排资金119万元，截至2022年12月31日，实际支出70.42万元，预算执行率59%。</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资金的到位情况：能源工作专项经费预算资金总额119万元，足额拨付到位。</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资金的执行情况：能源工作专项经费预算资金总额119万元，实际支出总额70.42万元，预算执行率59%。</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1.项目绩效总目标</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总体目标为：全面加快国家“三基地一通道”建设：一是积极争取国家政策及资金支持；二是开展能源、电力、可再生能源、煤炭、石油天然气、能源技术创新“十四五”发展规划编制工作；三是充分发挥投资引领作用；四是促进电力行业持续健康发展；五是深入实施惠民生工程；六是加快推进电力、油气等能源领域改革；七是扎实做好煤炭、电力、油气管道保护工作等能源安全生产工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2.阶段性目标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起草《2023年能源工作重点》，围绕培育壮大油气生产加工、煤炭煤电煤化工、新能源等产业集群，深入推进能源革命，全面加快新时代国家“三基地一通道”建设，规划建设新型能源体系，着力推动高质量发展，全力保障能源安全，坚定推进绿色转型，打造全国能源资源战略保障基地，服务国家发展大局和自治区高质量发展。编制2023年油气管道保护、电力安全生产监管计划，按阶段做好煤炭、电力、油气管道保护工作。</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1.绩效评价目的</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旨在评价能源工作专项经费实施前期、过程及效果，评价财政预算资金使用的效率及效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2.绩效评价对象</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本次绩效评价遵循财政部《项目支出绩效评价管理办法》（财预〔2020〕10号）和自治区财政厅《自治区财政支出绩效评价管理暂行办法》（新财预〔2018〕189号）等相关政策文件与规定，以能源</w:t>
      </w:r>
      <w:r>
        <w:rPr>
          <w:rStyle w:val="18"/>
          <w:rFonts w:hint="eastAsia" w:eastAsia="仿宋_GB2312" w:cs="Times New Roman"/>
          <w:b w:val="0"/>
          <w:bCs/>
          <w:spacing w:val="-4"/>
          <w:sz w:val="32"/>
          <w:szCs w:val="32"/>
          <w:lang w:eastAsia="zh-CN"/>
        </w:rPr>
        <w:t>工作</w:t>
      </w:r>
      <w:r>
        <w:rPr>
          <w:rStyle w:val="18"/>
          <w:rFonts w:hint="default" w:ascii="Times New Roman" w:hAnsi="Times New Roman" w:eastAsia="仿宋_GB2312" w:cs="Times New Roman"/>
          <w:b w:val="0"/>
          <w:bCs/>
          <w:spacing w:val="-4"/>
          <w:sz w:val="32"/>
          <w:szCs w:val="32"/>
        </w:rPr>
        <w:t>专项经费支出为对象所对应的预算资金，以项目实施所带来的产出和效果为主要内容，以促进预算单位完成特定工作任务目标所组织开展的绩效评价。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3.绩效评价范围</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1.绩效评价原则</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绩效评价遵循的原则包括：（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2.绩效评价指标体系</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一级指标为：决策、过程、产出、效益。</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3.绩效评价方法</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本次评价采用定量与定性评价相结合的比较法，公众评判法，总分由各项指标得分汇总形成。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比较法：通过整理本项目相关资料和数据，评价数量指标的完成情况；通过分析项目的实施情况与绩效目标实现情况，评价项目实施的效果。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公众评判法：采用问卷调查方式，对受益对象开展满意度调查，进行综合评价。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4.绩效评价标准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Style w:val="18"/>
          <w:rFonts w:hint="eastAsia" w:ascii="楷体_GB2312" w:hAnsi="楷体_GB2312" w:eastAsia="楷体_GB2312" w:cs="楷体_GB2312"/>
          <w:b w:val="0"/>
          <w:bCs/>
          <w:spacing w:val="-4"/>
          <w:sz w:val="32"/>
          <w:szCs w:val="32"/>
        </w:rPr>
      </w:pPr>
      <w:r>
        <w:rPr>
          <w:rStyle w:val="18"/>
          <w:rFonts w:hint="eastAsia" w:ascii="楷体_GB2312" w:hAnsi="楷体_GB2312" w:eastAsia="楷体_GB2312" w:cs="楷体_GB2312"/>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一阶段：前期准备。绩效评价人员根据《项目支出绩效评价管理办法》（财预〔2020〕10号）文件精神认真学习相关要求与规定，成立绩效评价工作组，作为绩效评价工作具体实施机构。成员构成如下：姚垚任评价组组长，绩效评价工作职责为负责全盘工作。姚春梅、宋佳、谭怡然任评价组成员，绩效评价工作职责为对项目实施情况进行实地调查负责资料审核等工作。</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第二阶段：组织实施。经评价组通过实地调研、查阅资料等方式，采用综合分析法对项目的决策、管理、绩效进行的综合评价分析。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第三阶段：分析评价。首先按照指标体系进行定量、定性分析。其次开展量化打分、综合评价工作，形成初步评价结论。最后归纳整体项目情况与存在问题，撰写部门绩效评价报告。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第四阶段：撰写与提交评价报告</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项目撰写绩效评价报告，按照财政局大平台绩效系统中统一格式和文本框架撰写绩效评价报告。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第五阶段：归集档案</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（一）综合评价情况</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能源工作专项经费总体组织规范，完成了能源工作专项经费的工作目标，有效规范了项目档案资料的整理，推动了治区经济高质量发展。在项目决策方面，能源工作专项经费立项依据充分，立项程序规范。项目管理方面，2022年本项目预算安排119万元，实际支出70.42万元，预算执行率59%。项目资金使用合规，项目财务管理制度健全，财务监控到位，所有资金支付均按照国库集中支付制度严格执行，现有项目管理制度执行情况良好。项目产出方面：严格履行“三个必须”工作要求，贯彻落实国务院安全生产“十五条”硬措施以及自治区70条工作举措，聘请组织专家在全疆范围内开展安全生产大检查和“安全生产月”活动，加大对重点地区、重点时段、重要节点电力安全生产、油气管道保护监管执法力度，有效防范和遏制能源领域重特大事故发生。项目效益方面：立足能源资源禀赋和区位优势，全面加快国家新时代“三基地一通道”建设，做大做强油气、煤炭等特色优势产业，突出抓好项目建设，积极促进能源领域有效投资，推动自治区经济高质量发展。2022年，我区煤炭产量4.13亿吨、增长28.6%；原油产量3213.3万吨、增长7.5%，天然气产量406.7亿立方米、增长4.9%，油气当量位居全国首位；发电量4669亿千瓦时、增长1.3%；出疆原油1440.5万吨、增长6.9%；出疆天然气651亿立方米、增长1%；“疆电外送”1257.1亿千瓦时、增长2.7%；“疆煤外运”8677.6万吨、增长近1倍。</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（二）综合评价结论</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运用项目组制定评价指标体系及财政部《项目支出绩效评价管理办法》（财预〔2020〕10号）文件评分标准进行评价，该项目最终评分76.35分，绩效评级为“中”，具体得分情况为：项目决策20分、项目过程17.95分、项目产出18.4分、项目效益20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z w:val="32"/>
          <w:szCs w:val="32"/>
        </w:rPr>
      </w:pPr>
      <w:r>
        <w:rPr>
          <w:rStyle w:val="18"/>
          <w:rFonts w:hint="eastAsia" w:ascii="黑体" w:hAnsi="黑体" w:eastAsia="黑体" w:cs="黑体"/>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（一）项目决策情况</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（1）立项依据充分性：本项目根据《自治区党委办公厅 自治区人民政府办公厅关于印发〈新疆维吾尔自治区发展和改革委员会职能配置、内设机构和人员编制规定〉的通知》（新党厅字〔2019〕56号）、《安全生产法》《中华人民共和国电力法》《中华人民共和国油气管道保护法》《电力设施保护条例》《电力监管条例》《电力建设工程质量监督规定》等文件有关要求立项，立项依据充分，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（2）立项程序规范性：项目按照规定的程序申请设立；审批文件、材料符合相关要求；项目前期已经过必要的可行性研究、绩效评估、集体决策。根据评分标准，该指标不扣分，得3分。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绩效目标合理性：项目根据相关文件要求设置了绩效目标，项目绩效目标合理，与实际工作内容密切相关；项目预期产出效益和效果符合正常的业绩水平；与预算确定的项目投资额或资金量相匹配，根据评分标准，该指标不扣分，得3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绩效指标明确性：项目绩效目标细化分解为具体的绩效指标；通过清晰、可衡量的指标值予以体现；与项目目标任务数相对应。项目根据相关文件要求设置了年初绩效目标，其中一级指标3个，二级指标7个，三级指标13个，定量指标11个，量化率84.62%。根据评分标准，该指标不扣分，得2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预算编制科学性：预算编制经过科学论证、有明确标准，资金额度与年度目标相适应，用以反映和考核项目预算编制的科学性、合理性情况。项目预算资金分配有测算依据，与补助单位或地方实际相适应，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（6）资金分配合理性：资金分配与实际相适应，根据评分标准，该指标不扣分，得2分。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（二）项目过程情况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项目过程类指标包括资金管理和组织实施两方面的内容，由5个三级指标构成，权重分为20分，实际得分17.95分，得分率为100%。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资金到位率：项目资金到位足额及时，及时支付，资金使用符合国家法规和财务管理制度；资金拨付有完整的审批程序和手续，符合项目预算批复或合同规定的用途；不存在截留、挤占、挪用、虚列支出等情况，根据评分标准，该指标不扣分，得2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（2）预算执行率：预算编制较为详细，项目资金支出总体能够按照预算执行。预算资金119万元，预算执行70.42万元，预算执行率59%。根据评分标准，该指标得2.95分。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资金使用合规性：在资金管理方面，项目资金足额及时到位，并及时支付，资金使用符合《中华人民共和国预算法》等国家法规和财务管理制度；资金拨付有完整的审批程序和手续，符合项目预算批复或合同规定的用途；不存在截留、挤占、挪用、虚列支出等情况。根据评分标准，该指标不扣分，得5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管理制度健全性：在项目组织实施方面，项目根据财预〔2020〕10号和自治区财政厅《自治区财政支出绩效评价管理暂行办法》（新财预〔2018〕189号）等相关政策与规定进行分配，依据充分，合理合规。按照《政府会计制度》《自治区发展和改革委员会财务管理制度》等实施。项目合法合规，实施中部分涉及合同签订，项目合同书及相关技术资料、考核的数据资料齐全。根据评分标准，该指标不扣分，得4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（5）制度执行有效性：由能源各处室提出经费预算支出可行性方案，报党支部会议研究执行，财务对资金的使用合法合规性进行监督，年底对资金使用效果进行自评，根据评分标准，该指标不扣分，得4分。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（三）项目产出情况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项目产出类指标包括产出数量、产出质量、产出时效、产出成本四方面的内容，由8个三级指标构成，权重分为30分，实际得分18.4分，得分率为46%。</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（1）对于“产出数量”</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煤矿标准化管理考核验收矿次大于等于12次，实际完成值0次，偏差率为100%，偏差原因：按照2022年1月《自治区党委编委关于调整自治区发展和改革委员会职责机构编制的通知》（新党编委〔2022〕2号）文件，将煤矿安全监管职能及相关人员划转至自治区应急管理厅，根据评分标准，该指标扣5分，得0分</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煤矿、电力、油气管道保护日常检查次数大于等于12次，实际完成值15次，与预期目标一致，根据评分标准，该指标不扣分，得5分。煤矿安全评价、检验检测机构资质认证及日常检查次数大于等于4次，实际完成值0次，偏差率为100%，偏差原因：按照2022年1月《自治区党委编委关于调整自治区发展和改革委员会职责机构编制的通知》（新党编委〔2022〕2号）文件，将煤矿安全监管职能及相关人员划转至自治区应急管理厅，根据评分标准，该指标扣5分，得0分。完成检查报告数量大于等于3份，实际完成值5次，与预期目标一致，根据评分标准，该指标不扣分，得5分。指标合计20分，实际得10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对于“产出质量”：煤矿安全评价、检验检测机构抽检覆盖率大于等于30%，实际覆盖率0%，偏差率为100%，偏差原因：按照2022年1月《自治区党委编委关于调整自治区发展和改革委员会职责机构编制的通知》（新党编委〔2022〕2号）文件，将煤矿安全监管职能及相关人员划转至自治区应急管理厅，根据评分标准，该指标扣5分，得0分。指标合计5分，实际得0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（3）对于“产出时效”：年度检查任务按时完成率大于等于90%，实际完成值100%，与预期目标指标一致，根据评分标准，该指标不扣分，得5分。合计得5分。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对于“产出成本”：预计监督检查成本104万元，实际完成值70.42万元，偏差率为32%，偏差原因：主要是受2022年8—12月新冠肺炎疫情影响，我委开展能源项目调研、电力安全生产、油气管道保护检查频次大幅缩减。同时，在检查及考核过程中聘请专家的频次及人数有所减少，专家聘请费用实际支出与计划相比大幅缩减。根据评分标准，该指标扣1.6分，得3.4分。制作煤炭安全培训证书成本15万元，实际完成值0万元，偏差率为100%，偏差原因：按照2022年1月《自治区党委编委关于调整自治区发展和改革委员会职责机构编制的通知》（新党编委〔2022〕2号）文件，将煤矿安全监管职能及相关人员划转至自治区应急管理厅。根据评分标准，该指标扣5分，得0分。指标合计10分，实际得3.4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（四）项目效益情况</w:t>
      </w:r>
      <w:r>
        <w:rPr>
          <w:rStyle w:val="18"/>
          <w:rFonts w:hint="eastAsia" w:ascii="楷体_GB2312" w:hAnsi="楷体_GB2312" w:eastAsia="楷体_GB2312" w:cs="楷体_GB2312"/>
          <w:b w:val="0"/>
          <w:bCs/>
          <w:spacing w:val="-4"/>
          <w:sz w:val="32"/>
          <w:szCs w:val="32"/>
        </w:rPr>
        <w:cr/>
      </w:r>
      <w:r>
        <w:rPr>
          <w:rStyle w:val="18"/>
          <w:rFonts w:hint="eastAsia" w:ascii="楷体_GB2312" w:hAnsi="楷体_GB2312" w:eastAsia="楷体_GB2312" w:cs="楷体_GB2312"/>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项目效益类指标包括社会效益、可持续影响指标4个方面的内容，由4个三级指标构成，权重分为20分，实际得分20分，得分率为100%。</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1.实施效益指标：</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对于“社会效益指标”：有效促进自治区能源行业高质量发展，与预期指标一致，根据评分标准，该指标不扣分，得2.5分。检查结果公开率预计绩效目标大于等于90%，实际完成值为100%，与预期指标一致，根据评分标准，该指标不扣分，得5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可持续影响指标”：推动全区能源行业安全发展，与预期指标一致，根据评分标准，该指标不扣分，得2.5分。问题整改落实率预计绩效目标大于等于90%，实际完成值为95%，与预期指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实施效益指标合计得15分。</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对于“经济效益指标”：本项目无该指标。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对于“生态效益指标”：本项目无该指标。</w:t>
      </w:r>
    </w:p>
    <w:p>
      <w:pPr>
        <w:keepNext w:val="0"/>
        <w:keepLines w:val="0"/>
        <w:pageBreakBefore w:val="0"/>
        <w:widowControl w:val="0"/>
        <w:kinsoku/>
        <w:wordWrap/>
        <w:overflowPunct/>
        <w:topLinePunct w:val="0"/>
        <w:autoSpaceDE/>
        <w:autoSpaceDN/>
        <w:bidi w:val="0"/>
        <w:adjustRightInd/>
        <w:snapToGrid/>
        <w:spacing w:line="580" w:lineRule="exact"/>
        <w:ind w:firstLine="564" w:firstLineChars="181"/>
        <w:textAlignment w:val="auto"/>
        <w:rPr>
          <w:rFonts w:hint="default" w:ascii="Times New Roman" w:hAnsi="Times New Roman" w:eastAsia="仿宋_GB2312" w:cs="Times New Roman"/>
          <w:b w:val="0"/>
          <w:bCs/>
          <w:spacing w:val="-4"/>
          <w:sz w:val="32"/>
          <w:szCs w:val="32"/>
        </w:rPr>
      </w:pPr>
      <w:r>
        <w:rPr>
          <w:rFonts w:hint="eastAsia" w:ascii="楷体_GB2312" w:hAnsi="楷体_GB2312" w:eastAsia="楷体_GB2312" w:cs="楷体_GB2312"/>
          <w:b w:val="0"/>
          <w:bCs/>
          <w:spacing w:val="-4"/>
          <w:sz w:val="32"/>
          <w:szCs w:val="32"/>
        </w:rPr>
        <w:t>（五）满意度指标完成情况分析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2.满意度指标:</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对于“满意度指标：检查人员被投诉次数0次，满意度100%，与预期目标一致，根据评分标准，该指标不扣分,得5分。</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eastAsia" w:ascii="楷体_GB2312" w:hAnsi="楷体_GB2312" w:eastAsia="楷体_GB2312" w:cs="楷体_GB2312"/>
          <w:b w:val="0"/>
          <w:bCs/>
          <w:spacing w:val="-4"/>
          <w:sz w:val="32"/>
          <w:szCs w:val="32"/>
        </w:rPr>
        <w:t>（一）主要经验及做法</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本项目实施较好的主要原主要是管理制度完善、责任落实到位，跟踪考核机制完善且运行有效。2022年，自治区能源工作贯彻新发展理念，坚持稳中求进工作总基调，统筹推进疫情防控和经济社会发展，统筹发展和安全，以供给侧结构性改革为主线，围绕国家“三基地一通道”建设，加强规划和政策引领，做好能源发展“十四五”规划编制印发工作；进一步优化煤炭产业结构，加快释放煤炭优质产能；不断建强完善全区750千伏主干网架，全面提升电网配置资源能力；聚焦能源领域改革创新，深入推进电力、油气体制改革；持续加大能源惠民力度，有序推进煤改电二期及农网巩固提升工程实施；坚持底线思维，压实责任，加大监管执法力度，扎实做好油气管道保护和电力安全监管，确保能源领域安全形势稳定向好。</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eastAsia" w:ascii="楷体_GB2312" w:hAnsi="楷体_GB2312" w:eastAsia="楷体_GB2312" w:cs="楷体_GB2312"/>
          <w:b w:val="0"/>
          <w:bCs/>
          <w:spacing w:val="-4"/>
          <w:sz w:val="32"/>
          <w:szCs w:val="32"/>
        </w:rPr>
        <w:t>（二）存在问题及原因分析</w:t>
      </w:r>
      <w:r>
        <w:rPr>
          <w:rStyle w:val="18"/>
          <w:rFonts w:hint="eastAsia" w:ascii="楷体_GB2312" w:hAnsi="楷体_GB2312" w:eastAsia="楷体_GB2312" w:cs="楷体_GB2312"/>
          <w:b w:val="0"/>
          <w:bCs/>
          <w:spacing w:val="-4"/>
          <w:sz w:val="32"/>
          <w:szCs w:val="32"/>
        </w:rPr>
        <w:cr/>
      </w:r>
      <w:r>
        <w:rPr>
          <w:rStyle w:val="18"/>
          <w:rFonts w:hint="eastAsia" w:ascii="楷体_GB2312" w:hAnsi="楷体_GB2312" w:eastAsia="楷体_GB2312" w:cs="楷体_GB2312"/>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2022年项目监控偏差为13%，主要原因一是按照2022年1月《自治区党委编委关于调整自治区发展和改革委员会职责机构编制的通知》（新党编委〔2022〕2号）文件，将煤矿安全监管职能及相关人员划转至自治区应急管理厅，二是受2022年8</w:t>
      </w:r>
      <w:r>
        <w:rPr>
          <w:rStyle w:val="18"/>
          <w:rFonts w:hint="eastAsia" w:ascii="仿宋_GB2312" w:hAnsi="仿宋_GB2312" w:eastAsia="仿宋_GB2312" w:cs="仿宋_GB2312"/>
          <w:b w:val="0"/>
          <w:bCs/>
          <w:spacing w:val="-4"/>
          <w:sz w:val="32"/>
          <w:szCs w:val="32"/>
        </w:rPr>
        <w:t>—</w:t>
      </w:r>
      <w:r>
        <w:rPr>
          <w:rStyle w:val="18"/>
          <w:rFonts w:hint="default" w:ascii="Times New Roman" w:hAnsi="Times New Roman" w:eastAsia="仿宋_GB2312" w:cs="Times New Roman"/>
          <w:b w:val="0"/>
          <w:bCs/>
          <w:spacing w:val="-4"/>
          <w:sz w:val="32"/>
          <w:szCs w:val="32"/>
        </w:rPr>
        <w:t>12月新冠肺炎疫情影响，我委开展能源项目调研、电力安全生产、油气管道保护检查频次大幅缩减。同时，在检查及考核过程中聘请专家的频次及人数有所减少，专家聘请费用实际支出与计划相比大幅缩减。此外，为避免人群聚集，国家及自治区组织的各类会议、培训或取消或改为线上进行，出差事宜明显减少，项目支出远不及预期。</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80" w:lineRule="exact"/>
        <w:textAlignment w:val="auto"/>
        <w:rPr>
          <w:rStyle w:val="18"/>
          <w:rFonts w:hint="default" w:ascii="Times New Roman" w:hAnsi="Times New Roman" w:eastAsia="仿宋_GB2312" w:cs="Times New Roman"/>
          <w:b w:val="0"/>
          <w:bCs/>
          <w:spacing w:val="-4"/>
          <w:sz w:val="32"/>
          <w:szCs w:val="32"/>
        </w:rPr>
      </w:pPr>
      <w:r>
        <w:rPr>
          <w:rStyle w:val="18"/>
          <w:rFonts w:hint="eastAsia" w:eastAsia="仿宋_GB2312" w:cs="Times New Roman"/>
          <w:b w:val="0"/>
          <w:bCs/>
          <w:spacing w:val="-4"/>
          <w:sz w:val="32"/>
          <w:szCs w:val="32"/>
          <w:lang w:val="en-US" w:eastAsia="zh-CN"/>
        </w:rPr>
        <w:t xml:space="preserve">    </w:t>
      </w:r>
      <w:r>
        <w:rPr>
          <w:rStyle w:val="18"/>
          <w:rFonts w:hint="eastAsia" w:eastAsia="仿宋_GB2312" w:cs="Times New Roman"/>
          <w:b w:val="0"/>
          <w:bCs/>
          <w:spacing w:val="-4"/>
          <w:sz w:val="32"/>
          <w:szCs w:val="32"/>
          <w:lang w:eastAsia="zh-CN"/>
        </w:rPr>
        <w:t>（一）</w:t>
      </w:r>
      <w:r>
        <w:rPr>
          <w:rStyle w:val="18"/>
          <w:rFonts w:hint="default" w:ascii="Times New Roman" w:hAnsi="Times New Roman" w:eastAsia="仿宋_GB2312" w:cs="Times New Roman"/>
          <w:b w:val="0"/>
          <w:bCs/>
          <w:spacing w:val="-4"/>
          <w:sz w:val="32"/>
          <w:szCs w:val="32"/>
        </w:rPr>
        <w:t>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eastAsia" w:eastAsia="仿宋_GB2312" w:cs="Times New Roman"/>
          <w:b w:val="0"/>
          <w:bCs/>
          <w:spacing w:val="-4"/>
          <w:sz w:val="32"/>
          <w:szCs w:val="32"/>
          <w:lang w:eastAsia="zh-CN"/>
        </w:rPr>
        <w:t>（二）</w:t>
      </w:r>
      <w:r>
        <w:rPr>
          <w:rStyle w:val="18"/>
          <w:rFonts w:hint="default" w:ascii="Times New Roman" w:hAnsi="Times New Roman" w:eastAsia="仿宋_GB2312" w:cs="Times New Roman"/>
          <w:b w:val="0"/>
          <w:bCs/>
          <w:spacing w:val="-4"/>
          <w:sz w:val="32"/>
          <w:szCs w:val="32"/>
        </w:rPr>
        <w:t>项目评价资料有待进一步完善。项目启动时同步做好档案的归纳与整理，及时整理、收集、汇总，健全档案资料。项目后续管理有待进一步加强和跟踪。</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eastAsia" w:eastAsia="仿宋_GB2312" w:cs="Times New Roman"/>
          <w:b w:val="0"/>
          <w:bCs/>
          <w:spacing w:val="-4"/>
          <w:sz w:val="32"/>
          <w:szCs w:val="32"/>
          <w:lang w:eastAsia="zh-CN"/>
        </w:rPr>
        <w:t>（三）</w:t>
      </w:r>
      <w:r>
        <w:rPr>
          <w:rStyle w:val="18"/>
          <w:rFonts w:hint="default" w:ascii="Times New Roman" w:hAnsi="Times New Roman" w:eastAsia="仿宋_GB2312" w:cs="Times New Roman"/>
          <w:b w:val="0"/>
          <w:bCs/>
          <w:spacing w:val="-4"/>
          <w:sz w:val="32"/>
          <w:szCs w:val="32"/>
        </w:rPr>
        <w:t>通过绩效管理，发现实施中存在漏洞，以后加强管理，及时掌握与之相关的各类信息，减少成本，使资金效益最大化。</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eastAsia" w:eastAsia="仿宋_GB2312" w:cs="Times New Roman"/>
          <w:b w:val="0"/>
          <w:bCs/>
          <w:spacing w:val="-4"/>
          <w:sz w:val="32"/>
          <w:szCs w:val="32"/>
          <w:lang w:eastAsia="zh-CN"/>
        </w:rPr>
        <w:t>（四）</w:t>
      </w:r>
      <w:r>
        <w:rPr>
          <w:rStyle w:val="18"/>
          <w:rFonts w:hint="default" w:ascii="Times New Roman" w:hAnsi="Times New Roman" w:eastAsia="仿宋_GB2312" w:cs="Times New Roman"/>
          <w:b w:val="0"/>
          <w:bCs/>
          <w:spacing w:val="-4"/>
          <w:sz w:val="32"/>
          <w:szCs w:val="32"/>
        </w:rPr>
        <w:t>评价工作应从项目实施方案源头抓起，评价工作和意识应贯穿项目整个过程。</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我单位对上述项目支出绩效评价报告内反映内容的真实性、完整性负责，接受上级部门及社会公众监督。</w:t>
      </w: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567"/>
        <w:textAlignment w:val="auto"/>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p>
    <w:p>
      <w:pPr>
        <w:spacing w:line="540" w:lineRule="exact"/>
        <w:rPr>
          <w:rStyle w:val="18"/>
          <w:rFonts w:hint="default" w:ascii="Times New Roman" w:hAnsi="Times New Roman" w:eastAsia="仿宋_GB2312" w:cs="Times New Roman"/>
          <w:b w:val="0"/>
          <w:bCs/>
          <w:spacing w:val="-4"/>
          <w:sz w:val="32"/>
          <w:szCs w:val="32"/>
        </w:rPr>
      </w:pPr>
    </w:p>
    <w:p>
      <w:pPr>
        <w:spacing w:line="540" w:lineRule="exact"/>
        <w:ind w:firstLine="567"/>
        <w:rPr>
          <w:rStyle w:val="18"/>
          <w:rFonts w:hint="default" w:ascii="Times New Roman" w:hAnsi="Times New Roman" w:eastAsia="仿宋_GB2312" w:cs="Times New Roman"/>
          <w:b w:val="0"/>
          <w:bCs/>
          <w:spacing w:val="-4"/>
          <w:sz w:val="32"/>
          <w:szCs w:val="32"/>
        </w:rPr>
      </w:pPr>
      <w:bookmarkStart w:id="0" w:name="_GoBack"/>
      <w:bookmarkEnd w:id="0"/>
    </w:p>
    <w:sectPr>
      <w:footerReference r:id="rId3" w:type="default"/>
      <w:pgSz w:w="11906" w:h="16838"/>
      <w:pgMar w:top="2098" w:right="1531" w:bottom="1984"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B7FDB13"/>
    <w:rsid w:val="477FE536"/>
    <w:rsid w:val="4BDFE4DD"/>
    <w:rsid w:val="4D2606A1"/>
    <w:rsid w:val="567F0B57"/>
    <w:rsid w:val="57D8A6CD"/>
    <w:rsid w:val="6BFDDEAC"/>
    <w:rsid w:val="6FE93AAD"/>
    <w:rsid w:val="7F7FB5BA"/>
    <w:rsid w:val="9CD3BB61"/>
    <w:rsid w:val="AEEDF685"/>
    <w:rsid w:val="AF530438"/>
    <w:rsid w:val="CB3FB59A"/>
    <w:rsid w:val="D69EBCF3"/>
    <w:rsid w:val="EBC6A50F"/>
    <w:rsid w:val="ED5F805F"/>
    <w:rsid w:val="EFB7529E"/>
    <w:rsid w:val="F7F18E7D"/>
    <w:rsid w:val="FEBEA531"/>
    <w:rsid w:val="FF3F14D0"/>
    <w:rsid w:val="FFEF49C6"/>
    <w:rsid w:val="FFF8C6F4"/>
    <w:rsid w:val="FFFDD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23</TotalTime>
  <ScaleCrop>false</ScaleCrop>
  <LinksUpToDate>false</LinksUpToDate>
  <CharactersWithSpaces>760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2018-08-16T10:06:00Z</dcterms:created>
  <dc:creator>赵 恺（预算处）</dc:creator>
  <cp:lastModifiedBy>fgw</cp:lastModifiedBy>
  <cp:lastPrinted>2019-01-01T18:56:00Z</cp:lastPrinted>
  <dcterms:modified xsi:type="dcterms:W3CDTF">2023-09-01T15:34:15Z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44788FB8CB249465F582F064EBA9CE10</vt:lpwstr>
  </property>
</Properties>
</file>