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w:t>
      </w:r>
      <w:r>
        <w:rPr>
          <w:rStyle w:val="18"/>
          <w:rFonts w:hint="default" w:ascii="Times New Roman" w:hAnsi="Times New Roman" w:eastAsia="仿宋_GB2312" w:cs="Times New Roman"/>
          <w:spacing w:val="-4"/>
          <w:sz w:val="32"/>
          <w:szCs w:val="32"/>
        </w:rPr>
        <w:t>2022</w:t>
      </w:r>
      <w:r>
        <w:rPr>
          <w:rFonts w:hint="default" w:ascii="Times New Roman" w:hAnsi="Times New Roman" w:eastAsia="仿宋_GB2312" w:cs="Times New Roman"/>
          <w:kern w:val="0"/>
          <w:sz w:val="32"/>
          <w:szCs w:val="32"/>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keepNext w:val="0"/>
        <w:keepLines w:val="0"/>
        <w:pageBreakBefore w:val="0"/>
        <w:widowControl w:val="0"/>
        <w:kinsoku/>
        <w:wordWrap/>
        <w:overflowPunct/>
        <w:topLinePunct w:val="0"/>
        <w:autoSpaceDE/>
        <w:autoSpaceDN/>
        <w:bidi w:val="0"/>
        <w:adjustRightInd/>
        <w:snapToGrid/>
        <w:spacing w:line="580" w:lineRule="exact"/>
        <w:ind w:firstLine="720" w:firstLineChars="200"/>
        <w:jc w:val="left"/>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 xml:space="preserve">     </w:t>
      </w:r>
    </w:p>
    <w:p>
      <w:pPr>
        <w:keepNext w:val="0"/>
        <w:keepLines w:val="0"/>
        <w:pageBreakBefore w:val="0"/>
        <w:widowControl w:val="0"/>
        <w:kinsoku/>
        <w:wordWrap/>
        <w:overflowPunct/>
        <w:topLinePunct w:val="0"/>
        <w:autoSpaceDE/>
        <w:autoSpaceDN/>
        <w:bidi w:val="0"/>
        <w:adjustRightInd/>
        <w:snapToGrid/>
        <w:spacing w:line="580" w:lineRule="exact"/>
        <w:ind w:left="420" w:leftChars="200" w:firstLine="560" w:firstLineChars="200"/>
        <w:jc w:val="left"/>
        <w:textAlignment w:val="auto"/>
        <w:rPr>
          <w:rFonts w:hint="default" w:ascii="Times New Roman" w:hAnsi="Times New Roman" w:eastAsia="仿宋_GB2312" w:cs="Times New Roman"/>
          <w:b w:val="0"/>
          <w:bCs w:val="0"/>
          <w:kern w:val="0"/>
          <w:sz w:val="28"/>
          <w:szCs w:val="28"/>
        </w:rPr>
      </w:pPr>
      <w:r>
        <w:rPr>
          <w:rFonts w:hint="default" w:ascii="Times New Roman" w:hAnsi="Times New Roman" w:eastAsia="仿宋_GB2312" w:cs="Times New Roman"/>
          <w:b w:val="0"/>
          <w:bCs w:val="0"/>
          <w:kern w:val="0"/>
          <w:sz w:val="28"/>
          <w:szCs w:val="28"/>
        </w:rPr>
        <w:t>项目名称：</w:t>
      </w:r>
      <w:r>
        <w:rPr>
          <w:rStyle w:val="18"/>
          <w:rFonts w:hint="default" w:ascii="Times New Roman" w:hAnsi="Times New Roman" w:eastAsia="仿宋_GB2312" w:cs="Times New Roman"/>
          <w:b w:val="0"/>
          <w:bCs w:val="0"/>
          <w:spacing w:val="-4"/>
          <w:sz w:val="28"/>
          <w:szCs w:val="28"/>
        </w:rPr>
        <w:t>自治区节能减排专项资金</w:t>
      </w:r>
    </w:p>
    <w:p>
      <w:pPr>
        <w:keepNext w:val="0"/>
        <w:keepLines w:val="0"/>
        <w:pageBreakBefore w:val="0"/>
        <w:widowControl w:val="0"/>
        <w:kinsoku/>
        <w:wordWrap/>
        <w:overflowPunct/>
        <w:topLinePunct w:val="0"/>
        <w:autoSpaceDE/>
        <w:autoSpaceDN/>
        <w:bidi w:val="0"/>
        <w:adjustRightInd/>
        <w:snapToGrid/>
        <w:spacing w:line="580" w:lineRule="exact"/>
        <w:ind w:left="420" w:leftChars="200" w:firstLine="560" w:firstLineChars="200"/>
        <w:textAlignment w:val="auto"/>
        <w:rPr>
          <w:rFonts w:hint="default" w:ascii="Times New Roman" w:hAnsi="Times New Roman" w:eastAsia="仿宋_GB2312" w:cs="Times New Roman"/>
          <w:b w:val="0"/>
          <w:bCs w:val="0"/>
          <w:spacing w:val="-4"/>
          <w:sz w:val="28"/>
          <w:szCs w:val="28"/>
        </w:rPr>
      </w:pPr>
      <w:r>
        <w:rPr>
          <w:rFonts w:hint="default" w:ascii="Times New Roman" w:hAnsi="Times New Roman" w:eastAsia="仿宋_GB2312" w:cs="Times New Roman"/>
          <w:b w:val="0"/>
          <w:bCs w:val="0"/>
          <w:kern w:val="0"/>
          <w:sz w:val="28"/>
          <w:szCs w:val="28"/>
        </w:rPr>
        <w:t>实施单位（公章）：</w:t>
      </w:r>
      <w:r>
        <w:rPr>
          <w:rStyle w:val="18"/>
          <w:rFonts w:hint="default" w:ascii="Times New Roman" w:hAnsi="Times New Roman" w:eastAsia="仿宋_GB2312" w:cs="Times New Roman"/>
          <w:b w:val="0"/>
          <w:bCs w:val="0"/>
          <w:spacing w:val="-4"/>
          <w:sz w:val="28"/>
          <w:szCs w:val="28"/>
        </w:rPr>
        <w:t>新疆维吾尔自治区发展和改革委员会（</w:t>
      </w:r>
      <w:r>
        <w:rPr>
          <w:rStyle w:val="18"/>
          <w:rFonts w:hint="default" w:ascii="Times New Roman" w:hAnsi="Times New Roman" w:eastAsia="仿宋_GB2312" w:cs="Times New Roman"/>
          <w:b w:val="0"/>
          <w:bCs w:val="0"/>
          <w:spacing w:val="-4"/>
          <w:sz w:val="28"/>
          <w:szCs w:val="28"/>
          <w:lang w:eastAsia="zh-CN"/>
        </w:rPr>
        <w:t>本级</w:t>
      </w:r>
      <w:r>
        <w:rPr>
          <w:rStyle w:val="18"/>
          <w:rFonts w:hint="default" w:ascii="Times New Roman" w:hAnsi="Times New Roman" w:eastAsia="仿宋_GB2312" w:cs="Times New Roman"/>
          <w:b w:val="0"/>
          <w:bCs w:val="0"/>
          <w:spacing w:val="-4"/>
          <w:sz w:val="28"/>
          <w:szCs w:val="28"/>
        </w:rPr>
        <w:t>）</w:t>
      </w:r>
    </w:p>
    <w:p>
      <w:pPr>
        <w:keepNext w:val="0"/>
        <w:keepLines w:val="0"/>
        <w:pageBreakBefore w:val="0"/>
        <w:widowControl w:val="0"/>
        <w:kinsoku/>
        <w:wordWrap/>
        <w:overflowPunct/>
        <w:topLinePunct w:val="0"/>
        <w:autoSpaceDE/>
        <w:autoSpaceDN/>
        <w:bidi w:val="0"/>
        <w:adjustRightInd/>
        <w:snapToGrid/>
        <w:spacing w:line="580" w:lineRule="exact"/>
        <w:ind w:left="420" w:leftChars="200" w:firstLine="560" w:firstLineChars="200"/>
        <w:textAlignment w:val="auto"/>
        <w:rPr>
          <w:rFonts w:hint="default" w:ascii="Times New Roman" w:hAnsi="Times New Roman" w:eastAsia="仿宋_GB2312" w:cs="Times New Roman"/>
          <w:b w:val="0"/>
          <w:bCs w:val="0"/>
          <w:spacing w:val="-4"/>
          <w:sz w:val="28"/>
          <w:szCs w:val="28"/>
        </w:rPr>
      </w:pPr>
      <w:r>
        <w:rPr>
          <w:rFonts w:hint="default" w:ascii="Times New Roman" w:hAnsi="Times New Roman" w:eastAsia="仿宋_GB2312" w:cs="Times New Roman"/>
          <w:b w:val="0"/>
          <w:bCs w:val="0"/>
          <w:kern w:val="0"/>
          <w:sz w:val="28"/>
          <w:szCs w:val="28"/>
        </w:rPr>
        <w:t>主管部门（公章）：</w:t>
      </w:r>
      <w:r>
        <w:rPr>
          <w:rStyle w:val="18"/>
          <w:rFonts w:hint="default" w:ascii="Times New Roman" w:hAnsi="Times New Roman" w:eastAsia="仿宋_GB2312" w:cs="Times New Roman"/>
          <w:b w:val="0"/>
          <w:bCs w:val="0"/>
          <w:spacing w:val="-4"/>
          <w:sz w:val="28"/>
          <w:szCs w:val="28"/>
        </w:rPr>
        <w:t>新疆维吾尔自治区发展和改革委员会</w:t>
      </w:r>
    </w:p>
    <w:p>
      <w:pPr>
        <w:keepNext w:val="0"/>
        <w:keepLines w:val="0"/>
        <w:pageBreakBefore w:val="0"/>
        <w:widowControl w:val="0"/>
        <w:kinsoku/>
        <w:wordWrap/>
        <w:overflowPunct/>
        <w:topLinePunct w:val="0"/>
        <w:autoSpaceDE/>
        <w:autoSpaceDN/>
        <w:bidi w:val="0"/>
        <w:adjustRightInd/>
        <w:snapToGrid/>
        <w:spacing w:line="580" w:lineRule="exact"/>
        <w:ind w:left="420" w:leftChars="200" w:firstLine="560" w:firstLineChars="200"/>
        <w:textAlignment w:val="auto"/>
        <w:rPr>
          <w:rFonts w:hint="default" w:ascii="Times New Roman" w:hAnsi="Times New Roman" w:eastAsia="仿宋_GB2312" w:cs="Times New Roman"/>
          <w:b w:val="0"/>
          <w:bCs w:val="0"/>
          <w:spacing w:val="-4"/>
          <w:sz w:val="28"/>
          <w:szCs w:val="28"/>
        </w:rPr>
      </w:pPr>
      <w:r>
        <w:rPr>
          <w:rFonts w:hint="default" w:ascii="Times New Roman" w:hAnsi="Times New Roman" w:eastAsia="仿宋_GB2312" w:cs="Times New Roman"/>
          <w:b w:val="0"/>
          <w:bCs w:val="0"/>
          <w:kern w:val="0"/>
          <w:sz w:val="28"/>
          <w:szCs w:val="28"/>
        </w:rPr>
        <w:t>项目负责人（签章）：</w:t>
      </w:r>
      <w:r>
        <w:rPr>
          <w:rStyle w:val="18"/>
          <w:rFonts w:hint="default" w:ascii="Times New Roman" w:hAnsi="Times New Roman" w:eastAsia="仿宋_GB2312" w:cs="Times New Roman"/>
          <w:b w:val="0"/>
          <w:bCs w:val="0"/>
          <w:spacing w:val="-4"/>
          <w:sz w:val="28"/>
          <w:szCs w:val="28"/>
        </w:rPr>
        <w:t>徐忠</w:t>
      </w:r>
    </w:p>
    <w:p>
      <w:pPr>
        <w:keepNext w:val="0"/>
        <w:keepLines w:val="0"/>
        <w:pageBreakBefore w:val="0"/>
        <w:widowControl w:val="0"/>
        <w:kinsoku/>
        <w:wordWrap/>
        <w:overflowPunct/>
        <w:topLinePunct w:val="0"/>
        <w:autoSpaceDE/>
        <w:autoSpaceDN/>
        <w:bidi w:val="0"/>
        <w:adjustRightInd/>
        <w:snapToGrid/>
        <w:spacing w:line="580" w:lineRule="exact"/>
        <w:ind w:left="420" w:leftChars="200" w:firstLine="560" w:firstLineChars="200"/>
        <w:textAlignment w:val="auto"/>
        <w:rPr>
          <w:rStyle w:val="18"/>
          <w:rFonts w:hint="default" w:ascii="Times New Roman" w:hAnsi="Times New Roman" w:eastAsia="仿宋_GB2312" w:cs="Times New Roman"/>
          <w:b w:val="0"/>
          <w:bCs w:val="0"/>
          <w:spacing w:val="-4"/>
          <w:sz w:val="28"/>
          <w:szCs w:val="28"/>
        </w:rPr>
      </w:pPr>
      <w:r>
        <w:rPr>
          <w:rFonts w:hint="default" w:ascii="Times New Roman" w:hAnsi="Times New Roman" w:eastAsia="仿宋_GB2312" w:cs="Times New Roman"/>
          <w:b w:val="0"/>
          <w:bCs w:val="0"/>
          <w:kern w:val="0"/>
          <w:sz w:val="28"/>
          <w:szCs w:val="28"/>
        </w:rPr>
        <w:t>填报时间：</w:t>
      </w:r>
      <w:r>
        <w:rPr>
          <w:rStyle w:val="18"/>
          <w:rFonts w:hint="default" w:ascii="Times New Roman" w:hAnsi="Times New Roman" w:eastAsia="仿宋_GB2312" w:cs="Times New Roman"/>
          <w:b w:val="0"/>
          <w:bCs w:val="0"/>
          <w:spacing w:val="-4"/>
          <w:sz w:val="28"/>
          <w:szCs w:val="28"/>
        </w:rPr>
        <w:t>2023年02月22日</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jc w:val="left"/>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ascii="黑体" w:hAnsi="黑体" w:eastAsia="黑体"/>
          <w:b w:val="0"/>
          <w:spacing w:val="-4"/>
          <w:sz w:val="32"/>
          <w:szCs w:val="32"/>
        </w:rPr>
        <w:sectPr>
          <w:pgSz w:w="11906" w:h="16838"/>
          <w:pgMar w:top="2098" w:right="1531" w:bottom="1984" w:left="1531" w:header="851" w:footer="992"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楷体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1.项目背景</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项目遵循财政部《项目支出绩效评价管理办法》（财预〔2020〕10号）和自治区财政厅《自治区财政支出绩效评价管理暂行办法》（新财预〔2018〕189号）《中华人民共和国节约能源法》《新疆维吾尔自治区实施〈中华人民共和国节约能源法〉办法》和《新疆维吾尔自治区节能减排专项资金管理暂行办法》等相关政策文件与规定，按照自治区党委、人民政府关于碳达峰碳中和重点工作部署，结合年度投资重点、资金支持规模以及项目申请情况，为会同有关部门做好统筹协调安排节能减排项目，申请财政拨付自治区全社会节能减排专项资金4500万元。</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2.主要内容及实施情况</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本项目主要建设内容：委托相关机构开展自治区原料用能、新增可再生能源不纳入能源消费总量控制、能耗双控向碳双控转变、固定资产投资项目节能审查制度、工业硅项目上下游匹配分析等研究，提出措施建议；编制CCUS技术应用推广规划；完成2022年度自治区发展改革委委托的节能审查项目；建设重点用能单位能源利用动态管理信息系统；开展节能宣传周工作；开展重点用能单位节能诊断。实施自治区人民医院等12家公共机构节能改造示范项目，7项公共机构节能基础能力建设，完成公共机构节能能能力建设，对62个村级整地进行储能式电锅炉改造；完成阿乌高速公路克拉美丽服务区节能改造试点项目；开展建筑节能重点实验室建设；开展节能降碳标准研究，维护能耗在线监测系统；开展2022年能源统计能力建设项目。</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项目实施情况：已开展自治区原料用能、新增可再生能源不纳入能源消费总量控制、能耗双控向碳双控转变、固定资产投资项目节能审查制度、工业硅项目上下游匹配分析等研究，起草完成《加快推动自治区CCUS产业化高质量发展实施方案》初稿，正在修改；完成2022年度自治区发展改革委委托的节能审查项目；建设完成重点用能单位能源利用动态管理信息系统；开展节能宣传周工作；开展重点用能单位节能诊断。已完成自治区人民医院、医科大学第一附属医院、政协办公厅等3项节能改造示范项目；已完成节能宣传项目，能耗定额试点、节能降碳管理平台、能源审计项目均已签订合同，碳普惠完成项目招标；已完成12家公共机构资源循环利用示范工作重点单位奖补项目，完成6家能耗定额管理试点奖补项目，完成2个县市新能源汽车推广试点奖补项目；南疆四地州村级阵地储能式电锅炉节能改造均已开展招标工作。阿乌高速公路克拉美丽服务区节能改造试点项目资金已支付，项目正在有序推进；开展建筑节能重点实验室建设；开展节能降碳标准研究，维护能耗在线监测系统；完成2021</w:t>
      </w:r>
      <w:r>
        <w:rPr>
          <w:rStyle w:val="18"/>
          <w:rFonts w:hint="eastAsia" w:ascii="仿宋_GB2312" w:hAnsi="仿宋_GB2312" w:eastAsia="仿宋_GB2312" w:cs="仿宋_GB2312"/>
          <w:b w:val="0"/>
          <w:bCs/>
          <w:spacing w:val="-4"/>
          <w:sz w:val="32"/>
          <w:szCs w:val="32"/>
        </w:rPr>
        <w:t>—</w:t>
      </w:r>
      <w:r>
        <w:rPr>
          <w:rStyle w:val="18"/>
          <w:rFonts w:hint="default" w:ascii="Times New Roman" w:hAnsi="Times New Roman" w:eastAsia="仿宋_GB2312" w:cs="Times New Roman"/>
          <w:b w:val="0"/>
          <w:bCs/>
          <w:spacing w:val="-4"/>
          <w:sz w:val="32"/>
          <w:szCs w:val="32"/>
        </w:rPr>
        <w:t>2022各项统计报表，能源统计能力建设有效推进。完成能耗在线监测系统维护升级，完成能源利用报告审核。</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3.项目实施主体</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本项目实施主体为自治区发展改革委、机关事务管理局、交通运输厅、住房城乡建设厅、市场监管局、统计局等自治区相关领域及行业节能减排管理部门。</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4.资金投入和使用情况</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根据《自治区节能减排专项资金暂行管理办法》预算安排资金4500万元，截至2022年12月31日，自治区全社会节能减排资金计划实际下达4500万元，实际执行4500万元，预算执行率100%。</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hint="eastAsia" w:ascii="楷体_GB2312" w:hAnsi="楷体_GB2312" w:eastAsia="楷体_GB2312" w:cs="楷体_GB2312"/>
          <w:b w:val="0"/>
          <w:bCs/>
          <w:spacing w:val="-4"/>
          <w:sz w:val="32"/>
          <w:szCs w:val="32"/>
        </w:rPr>
      </w:pPr>
      <w:r>
        <w:rPr>
          <w:rStyle w:val="18"/>
          <w:rFonts w:hint="eastAsia" w:ascii="楷体_GB2312" w:hAnsi="楷体_GB2312" w:eastAsia="楷体_GB2312" w:cs="楷体_GB2312"/>
          <w:b w:val="0"/>
          <w:bCs/>
          <w:spacing w:val="-4"/>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1.项目绩效总目标</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通过实施节能降碳示范、节能能力建设等项目，加强碳达峰碳中和政策研究，加快降碳技术推广应用，不断提高能源利用效率，提升节能管理水平，促进可持续发展，助力实现碳达峰、碳中和。</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2.阶段性目标</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前期准备：项目实施前期研究把握自治区党委、政府关于碳达峰碳中和工作部署，根据相关部门职能，会同相关部门提出各领域内年度重点工作，严格执行集体决策制度，拟定年度实施方案，明确职责，制定年度投资计划。</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组织实施：督促各项目单位严格落实投资计划执行和项目管理的主体责任，严格按投资计划组织实施，及时准确上报进度数据和信息，自觉接受各级监管部门监督检查。在资金管理方面，项目资金到位足额及时，及时支付，资金使用符合国家法规和财务管理制度，不存在截留、挤占、挪用、虚列支出等情况。项目支出手续完备，项目资料齐全并及时归档。同时注重建立长效机制，着眼项目长期效益的发挥。</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hint="eastAsia" w:ascii="楷体_GB2312" w:hAnsi="楷体_GB2312" w:eastAsia="楷体_GB2312" w:cs="楷体_GB2312"/>
          <w:b w:val="0"/>
          <w:bCs/>
          <w:spacing w:val="-4"/>
          <w:sz w:val="32"/>
          <w:szCs w:val="32"/>
        </w:rPr>
      </w:pPr>
      <w:r>
        <w:rPr>
          <w:rStyle w:val="18"/>
          <w:rFonts w:hint="eastAsia" w:ascii="楷体_GB2312" w:hAnsi="楷体_GB2312" w:eastAsia="楷体_GB2312" w:cs="楷体_GB2312"/>
          <w:b w:val="0"/>
          <w:bCs/>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1.绩效评价目的</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2.绩效评价对象</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绩效评价遵循财政部《项目支出绩效评价管理办法》（财预〔2020〕10号）和自治区财政厅《自治区财政支出绩效评价管理暂行办法》（新财预〔2018〕189号）等相关政策文件与规定，以2022年全社会节能减排专项资金项目支出为对象所对应的预算资金，以项目实施所带来的产出和效果为主要内容，以促进预算单位完成特定工作任务目标所组织开展的绩效评价。</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3.绩效评价范围</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hint="eastAsia" w:ascii="楷体_GB2312" w:hAnsi="楷体_GB2312" w:eastAsia="楷体_GB2312" w:cs="楷体_GB2312"/>
          <w:b w:val="0"/>
          <w:bCs/>
          <w:spacing w:val="-4"/>
          <w:sz w:val="32"/>
          <w:szCs w:val="32"/>
        </w:rPr>
      </w:pPr>
      <w:r>
        <w:rPr>
          <w:rStyle w:val="18"/>
          <w:rFonts w:hint="eastAsia" w:ascii="楷体_GB2312" w:hAnsi="楷体_GB2312" w:eastAsia="楷体_GB2312" w:cs="楷体_GB2312"/>
          <w:b w:val="0"/>
          <w:bCs/>
          <w:spacing w:val="-4"/>
          <w:sz w:val="32"/>
          <w:szCs w:val="32"/>
        </w:rPr>
        <w:t>（二）绩效评价原则、评价指标体系、评价方法、评价标准等</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1.绩效评价原则</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本次绩效评价遵循的原则包括：（1）科学公正。绩效评价应当运用科学合理的方法，按照规范的程序，对项目绩效进行客观、公正的反映</w:t>
      </w:r>
      <w:r>
        <w:rPr>
          <w:rStyle w:val="18"/>
          <w:rFonts w:hint="eastAsia"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3）激励约束。绩效评价结果应与预算安排、政策调整、改进管理实质性挂钩，体现奖优罚劣和激励相容导向，有效要安排、低效要压减、无效要问责。（4）公开透明。绩效评价结果应依法依规公开，并自觉接受社会监督。</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eastAsia" w:eastAsia="仿宋_GB2312" w:cs="Times New Roman"/>
          <w:b w:val="0"/>
          <w:bCs/>
          <w:spacing w:val="-4"/>
          <w:sz w:val="32"/>
          <w:szCs w:val="32"/>
          <w:lang w:eastAsia="zh-CN"/>
        </w:rPr>
      </w:pPr>
      <w:r>
        <w:rPr>
          <w:rStyle w:val="18"/>
          <w:rFonts w:hint="default" w:ascii="Times New Roman" w:hAnsi="Times New Roman" w:eastAsia="仿宋_GB2312" w:cs="Times New Roman"/>
          <w:b w:val="0"/>
          <w:bCs/>
          <w:spacing w:val="-4"/>
          <w:sz w:val="32"/>
          <w:szCs w:val="32"/>
        </w:rPr>
        <w:t>2.绩效评价指标体系</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评价工作组细化了该项目的绩效评价指标体系：</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一级指标为：决策、过程、产出、效益。</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二级指标为：项目立项、绩效目标、资金投入、资金管理、组织实施、产出数量、产出质量、产出时效、产出成本、项目效益。</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3.绩效评价方法</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本次评价采用定量与定性评价相结合的比较法，公众评判法，总分由各项指标得分汇总形成。</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公众评判法：评价组采用实地访谈、远程访谈相结合方式，对本项目的实施情况进行充分调研，了解掌握资金分配、资金管理、资金使用、制度建设、制度执行情况。对受益对象开展满意度调查，进行综合评价。</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4.绩效评价标准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hint="default" w:ascii="Times New Roman" w:hAnsi="Times New Roman" w:eastAsia="仿宋_GB2312" w:cs="Times New Roman"/>
          <w:b w:val="0"/>
          <w:bCs/>
          <w:spacing w:val="-4"/>
          <w:sz w:val="32"/>
          <w:szCs w:val="32"/>
        </w:rPr>
      </w:pPr>
      <w:r>
        <w:rPr>
          <w:rStyle w:val="18"/>
          <w:rFonts w:hint="eastAsia" w:ascii="楷体_GB2312" w:hAnsi="楷体_GB2312" w:eastAsia="楷体_GB2312" w:cs="楷体_GB2312"/>
          <w:b w:val="0"/>
          <w:bCs/>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第一阶段：前期准备。我单位绩效评价人员根据《项目支出绩效评价管理办法》（财预〔2020〕10号）文件精神认真学习相关要求与规定，成立绩效评价工作组，作为绩效评价工作具体实施机构。成员构成如下：徐忠任评价组组长，绩效评价工作职责为负责全盘工作。吴铁城任评价组副组长，绩效评价工作职责为为对项目实施情况进行实地调查。叶尔生任评价组成员，绩效评价工作职责为负责资料审核等工作。</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第二阶段：组织实施。经评价组通过实地调研、查阅资料等方式，采用综合分析法对项目的决策、管理、绩效进行的综合评价分析。</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第四阶段：撰写与提交评价报告</w:t>
      </w:r>
      <w:r>
        <w:rPr>
          <w:rStyle w:val="18"/>
          <w:rFonts w:hint="eastAsia"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项目撰写绩效评价报告，按照财政局大平台绩效系统中统一格式和文本框架撰写绩效评价报告。</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第五阶段：归集档案</w:t>
      </w:r>
      <w:r>
        <w:rPr>
          <w:rStyle w:val="18"/>
          <w:rFonts w:hint="eastAsia"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建立和落实档案管理制度，将项目相关资料存档，包括但不限于：评价项目基本情况和相关文件、评价实施方案、项目支付资料等相关档案。</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eastAsia" w:ascii="楷体_GB2312" w:hAnsi="楷体_GB2312" w:eastAsia="楷体_GB2312" w:cs="楷体_GB2312"/>
          <w:b w:val="0"/>
          <w:bCs/>
          <w:spacing w:val="-4"/>
          <w:sz w:val="32"/>
          <w:szCs w:val="32"/>
        </w:rPr>
        <w:t>（一）综合评价情况</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2022年全社会节能减排专项资金项目总体组织规范，完成了项目实施的各项工作目标，有效规范了项目档案资料的整理，持续推动我区公共机构节能改造、不断完善节能降碳政策体系、推进交通系统节能改造示范、进一步健全节能降碳标准体系、推进住建领域节能能力和节能统计能力建设，节能减排工作取得积极进展，不断降低能源资源消耗水平，助力实现我区碳达峰碳中和任务目标。在项目决策方面，通过各有关单位提出项目建设需求、结合自治区党委、人民政府关于碳达峰碳中和以及节能减排重点工作安排部署，坚持集体决策，经过专题会议研究，项目计划制定依据充分，程序规范</w:t>
      </w:r>
      <w:r>
        <w:rPr>
          <w:rStyle w:val="18"/>
          <w:rFonts w:hint="eastAsia"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项目管理方面，2022年本项目预算安排4500万元，实际支出4500万元，预算执行率100%。项目资金使用合规，项目财务管理制度健全，财务监控到位，所有资金支付均按照国库集中支付制度严格执行，现有项目管理制度执行情况良好。项目产出方面</w:t>
      </w:r>
      <w:r>
        <w:rPr>
          <w:rStyle w:val="18"/>
          <w:rFonts w:hint="eastAsia"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2022年本项目投资计划安排实施9个项目，与设定15个项目的绩效目标存在偏差，主要原因是为压实项目单位责任，强化项目管理，部分碳达峰碳中和及节能政策课题研究类项目合并下达计划、部分公共机构节能基础能力建设项目合并下达计划，实际实施项目产出数量和覆盖部门及地州达到预期效果。项目效益方面</w:t>
      </w:r>
      <w:r>
        <w:rPr>
          <w:rStyle w:val="18"/>
          <w:rFonts w:hint="eastAsia"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按照我委根据统计局有关数据测算形成的《自治区2022年节约能源工作情况报告》，2022年，全区能源消费量2.1亿吨标准煤，单位GDP能耗强度由2021年同比增长1.8%转为降低2.6%，年度下降幅度高于全国平均水平;全区规模以上企业工业增加值能耗同比下降5.8%，完成2022年自治区规模以上企业工业增加值能耗降低目标，为完成“十四五”国家下达我区能耗强度降低目标任务打下良好基础。项目的实施，为我区能源资源消耗水平持续降低、经济社会可持续发展奠定了有力基础。</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eastAsia" w:ascii="楷体_GB2312" w:hAnsi="楷体_GB2312" w:eastAsia="楷体_GB2312" w:cs="楷体_GB2312"/>
          <w:b w:val="0"/>
          <w:bCs/>
          <w:spacing w:val="-4"/>
          <w:sz w:val="32"/>
          <w:szCs w:val="32"/>
          <w:lang w:val="en-US" w:eastAsia="zh-CN"/>
        </w:rPr>
        <w:t xml:space="preserve">  </w:t>
      </w:r>
      <w:r>
        <w:rPr>
          <w:rStyle w:val="18"/>
          <w:rFonts w:hint="eastAsia" w:ascii="楷体_GB2312" w:hAnsi="楷体_GB2312" w:eastAsia="楷体_GB2312" w:cs="楷体_GB2312"/>
          <w:b w:val="0"/>
          <w:bCs/>
          <w:spacing w:val="-4"/>
          <w:sz w:val="32"/>
          <w:szCs w:val="32"/>
        </w:rPr>
        <w:t>（二）综合评价结论</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运用项目组制定评价指标体系及财政部《项目支出绩效评价管理办法》（财预〔2020〕10号）文件评分标准进行评价，该项目最终评分97.6分，绩效评级为“优”，具体得分情况为：项目决策20分、项目过程20分、项目产出27.6分、项目效益30分。</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hint="eastAsia" w:ascii="黑体" w:hAnsi="黑体" w:eastAsia="黑体" w:cs="黑体"/>
          <w:b w:val="0"/>
          <w:bCs/>
        </w:rPr>
      </w:pPr>
      <w:r>
        <w:rPr>
          <w:rStyle w:val="18"/>
          <w:rFonts w:hint="eastAsia" w:ascii="黑体" w:hAnsi="黑体" w:eastAsia="黑体" w:cs="黑体"/>
          <w:b w:val="0"/>
          <w:bCs/>
          <w:spacing w:val="-4"/>
          <w:sz w:val="32"/>
          <w:szCs w:val="32"/>
        </w:rPr>
        <w:t xml:space="preserve">四、绩效评价指标分析 </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Fonts w:hint="default" w:ascii="Times New Roman" w:hAnsi="Times New Roman" w:eastAsia="仿宋_GB2312" w:cs="Times New Roman"/>
          <w:b w:val="0"/>
          <w:bCs/>
          <w:spacing w:val="-4"/>
          <w:sz w:val="32"/>
          <w:szCs w:val="32"/>
        </w:rPr>
      </w:pPr>
      <w:r>
        <w:rPr>
          <w:rFonts w:hint="eastAsia" w:ascii="楷体_GB2312" w:hAnsi="楷体_GB2312" w:eastAsia="楷体_GB2312" w:cs="楷体_GB2312"/>
          <w:b w:val="0"/>
          <w:bCs/>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项目决策类指标包括项目立项、绩效目标和资金投入三方面的内容，由6个三级指标构成，权重分为20</w:t>
      </w:r>
      <w:bookmarkStart w:id="0" w:name="_GoBack"/>
      <w:bookmarkEnd w:id="0"/>
      <w:r>
        <w:rPr>
          <w:rStyle w:val="18"/>
          <w:rFonts w:hint="default" w:ascii="Times New Roman" w:hAnsi="Times New Roman" w:eastAsia="仿宋_GB2312" w:cs="Times New Roman"/>
          <w:b w:val="0"/>
          <w:bCs/>
          <w:spacing w:val="-4"/>
          <w:sz w:val="32"/>
          <w:szCs w:val="32"/>
        </w:rPr>
        <w:t>分，实际得分20分，得分率为100%。</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立项依据充分性：为深入推进节能减排工作，确保我区节能减排总体目标任务取得积极进展，根据《中华人民共和国节约能源法》、《新疆维吾尔自治区实施〈中华人民共和国节约能源法〉办法》，自治区设立节能减排专项资金，并制定《新疆维吾尔自治区节能减排专项资金管理暂行办法》。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立项程序规范性：按照《新疆维吾尔自治区节能减排专项资金管理暂行办法》，自治区发展改革委统筹安排全社会节能减排资金，通过各有关单位提出项目建设需求、结合自治区党委、人民政府关于碳达峰碳中和以及节能减排重点工作安排部署，坚持集体决策，经过专题会议研究，项目计划制定依据充分，程序规范，</w:t>
      </w:r>
      <w:r>
        <w:rPr>
          <w:rStyle w:val="18"/>
          <w:rFonts w:hint="eastAsia" w:eastAsia="仿宋_GB2312" w:cs="Times New Roman"/>
          <w:b w:val="0"/>
          <w:bCs/>
          <w:spacing w:val="-4"/>
          <w:sz w:val="32"/>
          <w:szCs w:val="32"/>
          <w:lang w:val="en-US" w:eastAsia="zh-CN"/>
        </w:rPr>
        <w:t xml:space="preserve">             </w:t>
      </w:r>
      <w:r>
        <w:rPr>
          <w:rFonts w:hint="eastAsia" w:ascii="仿宋_GB2312" w:hAnsi="仿宋_GB2312" w:eastAsia="仿宋_GB2312" w:cs="仿宋_GB2312"/>
          <w:sz w:val="32"/>
          <w:szCs w:val="32"/>
        </w:rPr>
        <w:t>该指标不扣分，得3分。</w:t>
      </w:r>
      <w:r>
        <w:rPr>
          <w:rFonts w:hint="default"/>
        </w:rPr>
        <w:cr/>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3.绩效目标合理性</w:t>
      </w:r>
      <w:r>
        <w:rPr>
          <w:rStyle w:val="18"/>
          <w:rFonts w:hint="eastAsia" w:eastAsia="仿宋_GB2312" w:cs="Times New Roman"/>
          <w:b w:val="0"/>
          <w:bCs/>
          <w:spacing w:val="-4"/>
          <w:sz w:val="32"/>
          <w:szCs w:val="32"/>
          <w:lang w:val="en-US" w:eastAsia="zh-CN"/>
        </w:rPr>
        <w:t>:</w:t>
      </w:r>
      <w:r>
        <w:rPr>
          <w:rStyle w:val="18"/>
          <w:rFonts w:hint="default" w:ascii="Times New Roman" w:hAnsi="Times New Roman" w:eastAsia="仿宋_GB2312" w:cs="Times New Roman"/>
          <w:b w:val="0"/>
          <w:bCs/>
          <w:spacing w:val="-4"/>
          <w:sz w:val="32"/>
          <w:szCs w:val="32"/>
        </w:rPr>
        <w:t>制定了实施方案和2022年全社会节能减排专项资金项目计划，明确了总体思路及目标、并对任务进行了详细分解，对目标进行了细化，根据评分标准，该指标不扣分，得3分。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4.绩效指标明确性：将项目绩效目标细化分解为具体的绩效指标，根据评分标准，该指标不扣分，得2分。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5.预算编制科学性：预算编制经过科学论证，内容与项目内容匹配，项目投资额与工作任务相匹配，根据评分标准，该指标不扣分，得5分。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6.资金分配合理性：资金分配与实际相适应，根据评分标准，该指标不扣分，得2分。</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Fonts w:hint="eastAsia" w:ascii="楷体_GB2312" w:hAnsi="楷体_GB2312" w:eastAsia="楷体_GB2312" w:cs="楷体_GB2312"/>
          <w:b w:val="0"/>
          <w:bCs/>
          <w:spacing w:val="-4"/>
          <w:sz w:val="32"/>
          <w:szCs w:val="32"/>
        </w:rPr>
      </w:pPr>
      <w:r>
        <w:rPr>
          <w:rFonts w:hint="eastAsia" w:ascii="楷体_GB2312" w:hAnsi="楷体_GB2312" w:eastAsia="楷体_GB2312" w:cs="楷体_GB2312"/>
          <w:b w:val="0"/>
          <w:bCs/>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项目过程类指标包括资金管理和组织实施两方面的内容，由5个三级指标构成，权重分为20分，实际得分20分，得分率为100%。</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 xml:space="preserve">1.资金到位率：财政资金足额拨付到位，牵头单位能够及时足额按照合同约定将专项资金拨付给项目单位，根据评分标准，该指标不扣分，得2分。   </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2.预算执行率：预算编制较为详细，项目资金支出总体能够按照预算执行。项目到位资金4500万元，支付资金4500万元，执行率100%。根据评分标准，该指标不扣分，得5分。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3.资金使用合规性：制定了相关的制度和管理规定对经费使用进行规范管理，财务制度健全、执行严格，根据评分标准，该指标不扣分，得5分。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4.管理制度健全性：自治区已制定了自治区节能减排资金管理办法，对财政专项资金进行严格管理，基本做到了专款专用，根据评分标准，该指标不扣分，得4分。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5.制度执行有效性：按照自治区节能减排专项资金暂行管理办法，由机关事务、住建、交通等行业部门提出资金使用申请，结合自治区党委、人民政府关于碳达峰碳中和以及节能减排重点工作安排部署，经自治区发展改革委审核筛选，经自治区发展改革委党组研究执行，财务对资金的使用合法合规性进行监督，年底对资金使用效果进行自评，根据评分标准，该指标不扣分，得4分。</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Fonts w:hint="eastAsia" w:ascii="楷体_GB2312" w:hAnsi="楷体_GB2312" w:eastAsia="楷体_GB2312" w:cs="楷体_GB2312"/>
          <w:b w:val="0"/>
          <w:bCs/>
          <w:spacing w:val="-4"/>
          <w:sz w:val="32"/>
          <w:szCs w:val="32"/>
        </w:rPr>
      </w:pPr>
      <w:r>
        <w:rPr>
          <w:rFonts w:hint="eastAsia" w:ascii="楷体_GB2312" w:hAnsi="楷体_GB2312" w:eastAsia="楷体_GB2312" w:cs="楷体_GB2312"/>
          <w:b w:val="0"/>
          <w:bCs/>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项目产出类指标包括产出数量、产出质量、产出时效、产出成本四方面的内容，由6个三级指标构成，权重分为30分，实际得分27.6分，得分率为92%。</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1.对于“产出数量”</w:t>
      </w:r>
      <w:r>
        <w:rPr>
          <w:rStyle w:val="18"/>
          <w:rFonts w:hint="eastAsia" w:eastAsia="仿宋_GB2312" w:cs="Times New Roman"/>
          <w:b w:val="0"/>
          <w:bCs/>
          <w:spacing w:val="-4"/>
          <w:sz w:val="32"/>
          <w:szCs w:val="32"/>
          <w:lang w:val="en-US" w:eastAsia="zh-CN"/>
        </w:rPr>
        <w:t>:</w:t>
      </w:r>
      <w:r>
        <w:rPr>
          <w:rStyle w:val="18"/>
          <w:rFonts w:hint="default" w:ascii="Times New Roman" w:hAnsi="Times New Roman" w:eastAsia="仿宋_GB2312" w:cs="Times New Roman"/>
          <w:b w:val="0"/>
          <w:bCs/>
          <w:spacing w:val="-4"/>
          <w:sz w:val="32"/>
          <w:szCs w:val="32"/>
        </w:rPr>
        <w:t>项目预期实施数量目标为实施15个节能减排项目，实际在资金计划下达中安排9个项目，偏差原因是为压实项目单位责任，将部分课题研究类项目与部分公共机构节能改造类项目打捆下达。得分3.6分</w:t>
      </w:r>
      <w:r>
        <w:rPr>
          <w:rStyle w:val="18"/>
          <w:rFonts w:hint="eastAsia"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rPr>
        <w:t>项目覆盖部门及地州数量为10个，与预期目标一致，根据评分标准，该指标不扣分，得4分。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合计得7.6分。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2.对于“产出质量”：已完工项目验收合格率100%，与预期目标一致，根据评分标准，该指标不扣分，得8分。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3.对于“产出时效”：资金及时到位率为100%，与预期目标指标一致，根据评分标准，该指标不扣分，得3分。项目按计划开工率为100%，与预期目标指标一致，根据评分标准，该指标不扣分，得3分。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合计得6分。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4.对于“产出成本”：本专项资金4500万元，项目经费都能控制专项经费安排资金范围内，根据评分标准，该指标不扣分，得6分。</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Fonts w:hint="eastAsia" w:ascii="楷体_GB2312" w:hAnsi="楷体_GB2312" w:eastAsia="楷体_GB2312" w:cs="楷体_GB2312"/>
          <w:b w:val="0"/>
          <w:bCs/>
          <w:spacing w:val="-4"/>
          <w:sz w:val="32"/>
          <w:szCs w:val="32"/>
        </w:rPr>
      </w:pPr>
      <w:r>
        <w:rPr>
          <w:rFonts w:hint="eastAsia" w:ascii="楷体_GB2312" w:hAnsi="楷体_GB2312" w:eastAsia="楷体_GB2312" w:cs="楷体_GB2312"/>
          <w:b w:val="0"/>
          <w:bCs/>
          <w:spacing w:val="-4"/>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项目实施有效促进全区能源资源消耗水平降低、有效促进我区经济社会可持续发展，服务对象满意度为100%，该指标不扣分，得30分，得分率为100%。</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对于“社会效益指标”：按照我委根据统计局有关数据测算形成的《自治区2022年节约能源工作情况报告》，2022年，全区能源消费量2.1亿吨标准煤，单位GDP能耗强度由2021年同比增长1.8%转为降低2.6%，年度下降幅度高于全国平均水平;全区规模以上企业工业增加值能耗同比下降5.8%，完成2022年自治区规模以上企业工业增加值能耗降低目标，该指标不扣分，得10分。</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对于“可持续影响指标”：我区较好的完成了2022年能耗强度下降任务，有效促进我区经济社会可持续发展，与预期指标一致，根据评分标准，该指标不扣分，得10分。</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Fonts w:hint="default" w:ascii="Times New Roman" w:hAnsi="Times New Roman" w:eastAsia="仿宋_GB2312" w:cs="Times New Roman"/>
          <w:b w:val="0"/>
          <w:bCs/>
          <w:spacing w:val="-4"/>
          <w:sz w:val="32"/>
          <w:szCs w:val="32"/>
        </w:rPr>
      </w:pPr>
      <w:r>
        <w:rPr>
          <w:rFonts w:hint="eastAsia" w:ascii="楷体_GB2312" w:hAnsi="楷体_GB2312" w:eastAsia="楷体_GB2312" w:cs="楷体_GB2312"/>
          <w:b w:val="0"/>
          <w:bCs/>
          <w:spacing w:val="-4"/>
          <w:sz w:val="32"/>
          <w:szCs w:val="32"/>
        </w:rPr>
        <w:t>（五）满意度指标完成情况分析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对于“满意度指标：各收益项目单位满意度100%，与预期目标一致，根据评分标准，该指标不扣分,得10分。</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五</w:t>
      </w:r>
      <w:r>
        <w:rPr>
          <w:rStyle w:val="18"/>
          <w:rFonts w:hint="eastAsia" w:ascii="黑体" w:hAnsi="黑体" w:eastAsia="黑体" w:cs="黑体"/>
          <w:b w:val="0"/>
          <w:bCs/>
          <w:spacing w:val="-4"/>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eastAsia" w:ascii="楷体_GB2312" w:hAnsi="楷体_GB2312" w:eastAsia="楷体_GB2312" w:cs="楷体_GB2312"/>
          <w:b w:val="0"/>
          <w:bCs/>
          <w:spacing w:val="-4"/>
          <w:sz w:val="32"/>
          <w:szCs w:val="32"/>
        </w:rPr>
        <w:t>（一）主要经验及做法</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项目能够严格按照《自治区节能减排专项资金暂行管理办法》执行，项目执行情况较好。二是加强组织领导，本项目绩效评价工作，由负责处室处长挂帅，分管副处长具体负责，从项目到资金，均能够很好的执行。三是加强沟通协调，我单位加强与各资金使用单位的沟通，及时对接协调推进项目进度，确保项目按期完工。</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eastAsia" w:ascii="楷体_GB2312" w:hAnsi="楷体_GB2312" w:eastAsia="楷体_GB2312" w:cs="楷体_GB2312"/>
          <w:b w:val="0"/>
          <w:bCs/>
          <w:spacing w:val="-4"/>
          <w:sz w:val="32"/>
          <w:szCs w:val="32"/>
        </w:rPr>
        <w:t>（二）存在问题及原因分析</w:t>
      </w:r>
      <w:r>
        <w:rPr>
          <w:rStyle w:val="18"/>
          <w:rFonts w:hint="eastAsia" w:ascii="楷体_GB2312" w:hAnsi="楷体_GB2312" w:eastAsia="楷体_GB2312" w:cs="楷体_GB2312"/>
          <w:b w:val="0"/>
          <w:bCs/>
          <w:spacing w:val="-4"/>
          <w:sz w:val="32"/>
          <w:szCs w:val="32"/>
        </w:rPr>
        <w:cr/>
      </w:r>
      <w:r>
        <w:rPr>
          <w:rStyle w:val="18"/>
          <w:rFonts w:hint="eastAsia" w:ascii="楷体_GB2312" w:hAnsi="楷体_GB2312" w:eastAsia="楷体_GB2312" w:cs="楷体_GB2312"/>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六</w:t>
      </w:r>
      <w:r>
        <w:rPr>
          <w:rStyle w:val="18"/>
          <w:rFonts w:hint="eastAsia" w:ascii="黑体" w:hAnsi="黑体" w:eastAsia="黑体" w:cs="黑体"/>
          <w:b w:val="0"/>
          <w:bCs/>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（一）项目评价资料有待进一步完善。项目启动时同步做好档案的归纳与整理，及时整理、收集、汇总，健全档案资料。项目后续管理有待进一步加强和跟踪。</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（二）对于跨年实施项目，建议适当对绩效评价工作开展的时间向后调整。</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七</w:t>
      </w:r>
      <w:r>
        <w:rPr>
          <w:rStyle w:val="18"/>
          <w:rFonts w:hint="eastAsia" w:ascii="黑体" w:hAnsi="黑体" w:eastAsia="黑体" w:cs="黑体"/>
          <w:b w:val="0"/>
          <w:bCs/>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我单位对上述项目支出绩效评价报告内反映内容的真实性、完整性负责，接受上级部门及社会公众监督。</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Style w:val="18"/>
          <w:rFonts w:hint="default" w:ascii="Times New Roman" w:hAnsi="Times New Roman" w:eastAsia="仿宋_GB2312" w:cs="Times New Roman"/>
          <w:b w:val="0"/>
          <w:bCs/>
          <w:spacing w:val="-4"/>
          <w:sz w:val="32"/>
          <w:szCs w:val="32"/>
        </w:rPr>
      </w:pPr>
    </w:p>
    <w:sectPr>
      <w:footerReference r:id="rId3" w:type="default"/>
      <w:pgSz w:w="11906" w:h="16838"/>
      <w:pgMar w:top="2098" w:right="1531" w:bottom="1984" w:left="1531"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1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1FDF8414"/>
    <w:rsid w:val="29FF04B9"/>
    <w:rsid w:val="33FF4FE1"/>
    <w:rsid w:val="3BFCB6C2"/>
    <w:rsid w:val="3DD77F34"/>
    <w:rsid w:val="4D2606A1"/>
    <w:rsid w:val="7BAE59D5"/>
    <w:rsid w:val="7F7B8EDD"/>
    <w:rsid w:val="8E7E50C2"/>
    <w:rsid w:val="BDEB7C23"/>
    <w:rsid w:val="CDEB3756"/>
    <w:rsid w:val="DFF9DE5C"/>
    <w:rsid w:val="EF6FB9AB"/>
    <w:rsid w:val="F3F4A758"/>
    <w:rsid w:val="F77FA95D"/>
    <w:rsid w:val="F7EFD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14</TotalTime>
  <ScaleCrop>false</ScaleCrop>
  <LinksUpToDate>false</LinksUpToDate>
  <CharactersWithSpaces>760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2018-08-16T18:06:00Z</dcterms:created>
  <dc:creator>赵 恺（预算处）</dc:creator>
  <cp:lastModifiedBy>fgw</cp:lastModifiedBy>
  <cp:lastPrinted>2019-01-02T02:56:00Z</cp:lastPrinted>
  <dcterms:modified xsi:type="dcterms:W3CDTF">2023-09-01T15:36:35Z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0D8C89C6CCD50841BD51F1647AE55472</vt:lpwstr>
  </property>
</Properties>
</file>