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rPr>
          <w:rFonts w:ascii="宋体" w:eastAsia="宋体"/>
          <w:sz w:val="32"/>
          <w:szCs w:val="32"/>
        </w:rPr>
      </w:pPr>
    </w:p>
    <w:p>
      <w:pPr>
        <w:spacing w:after="0" w:line="240" w:lineRule="auto"/>
        <w:rPr>
          <w:rFonts w:ascii="宋体" w:eastAsia="宋体"/>
          <w:sz w:val="44"/>
          <w:szCs w:val="44"/>
        </w:rPr>
      </w:pPr>
    </w:p>
    <w:p>
      <w:pPr>
        <w:spacing w:after="0" w:line="580" w:lineRule="exact"/>
        <w:ind w:firstLine="880" w:firstLineChars="200"/>
        <w:jc w:val="both"/>
        <w:rPr>
          <w:rFonts w:ascii="宋体" w:eastAsia="宋体"/>
          <w:sz w:val="44"/>
          <w:szCs w:val="44"/>
        </w:rPr>
      </w:pPr>
    </w:p>
    <w:p>
      <w:pPr>
        <w:spacing w:after="0" w:line="580" w:lineRule="exact"/>
        <w:ind w:firstLine="880" w:firstLineChars="200"/>
        <w:jc w:val="center"/>
        <w:rPr>
          <w:rFonts w:ascii="宋体" w:eastAsia="宋体"/>
          <w:sz w:val="44"/>
          <w:szCs w:val="44"/>
        </w:rPr>
      </w:pPr>
    </w:p>
    <w:p>
      <w:pPr>
        <w:spacing w:after="0" w:line="580" w:lineRule="exact"/>
        <w:ind w:firstLine="880" w:firstLineChars="200"/>
        <w:jc w:val="center"/>
        <w:outlineLvl w:val="0"/>
        <w:rPr>
          <w:rFonts w:ascii="Times New Roman" w:hAnsi="Times New Roman" w:eastAsia="方正小标宋简体" w:cs="Times New Roman"/>
          <w:kern w:val="2"/>
          <w:sz w:val="44"/>
          <w:szCs w:val="44"/>
          <w:lang w:eastAsia="zh-CN"/>
        </w:rPr>
      </w:pPr>
      <w:r>
        <w:rPr>
          <w:rFonts w:ascii="Times New Roman" w:hAnsi="Times New Roman" w:eastAsia="方正小标宋简体" w:cs="Times New Roman"/>
          <w:kern w:val="2"/>
          <w:sz w:val="44"/>
          <w:szCs w:val="44"/>
          <w:lang w:eastAsia="zh-CN"/>
        </w:rPr>
        <w:t>新疆维吾尔自治区价格监测中心</w:t>
      </w:r>
    </w:p>
    <w:p>
      <w:pPr>
        <w:spacing w:after="0" w:line="580" w:lineRule="exact"/>
        <w:ind w:firstLine="880" w:firstLineChars="200"/>
        <w:jc w:val="center"/>
        <w:outlineLvl w:val="0"/>
        <w:rPr>
          <w:rFonts w:ascii="黑体" w:eastAsia="黑体"/>
          <w:sz w:val="44"/>
          <w:szCs w:val="44"/>
          <w:lang w:eastAsia="zh-CN"/>
        </w:rPr>
      </w:pPr>
      <w:r>
        <w:rPr>
          <w:rFonts w:ascii="Times New Roman" w:hAnsi="Times New Roman" w:eastAsia="方正小标宋简体" w:cs="Times New Roman"/>
          <w:kern w:val="2"/>
          <w:sz w:val="44"/>
          <w:szCs w:val="44"/>
          <w:lang w:eastAsia="zh-CN"/>
        </w:rPr>
        <w:t>2024年度部门决算公开说明</w:t>
      </w:r>
    </w:p>
    <w:p>
      <w:pPr>
        <w:spacing w:line="580" w:lineRule="exact"/>
        <w:ind w:firstLine="0" w:firstLineChars="200"/>
        <w:jc w:val="both"/>
        <w:rPr>
          <w:lang w:eastAsia="zh-CN"/>
        </w:rPr>
      </w:pPr>
      <w:r>
        <w:rPr>
          <w:sz w:val="0"/>
          <w:szCs w:val="0"/>
          <w:lang w:eastAsia="zh-CN"/>
        </w:rPr>
        <w:br w:type="page"/>
      </w:r>
    </w:p>
    <w:p>
      <w:pPr>
        <w:spacing w:after="0" w:line="580" w:lineRule="exact"/>
        <w:ind w:firstLine="642" w:firstLineChars="200"/>
        <w:jc w:val="center"/>
        <w:rPr>
          <w:rFonts w:ascii="黑体" w:eastAsia="黑体"/>
          <w:sz w:val="32"/>
          <w:szCs w:val="32"/>
          <w:lang w:eastAsia="zh-CN"/>
        </w:rPr>
      </w:pPr>
      <w:r>
        <w:rPr>
          <w:rFonts w:ascii="黑体" w:eastAsia="黑体"/>
          <w:b/>
          <w:sz w:val="32"/>
          <w:szCs w:val="32"/>
          <w:lang w:eastAsia="zh-CN"/>
        </w:rPr>
        <w:t>目录</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第一部分单位概况</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一、主要职能</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二、机构设置及人员情况</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第二部分部门决算情况说明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一、收入支出决算总体情况说明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二、收入决算情况说明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三、支出决算情况说明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十、其他重要事项的情况说明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（二）政府采购情况</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（三）国有资产占用情况说明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十一、预算绩效的情况说明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十二、其他需说明的事项</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第三部分专业名词解释</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第四部分部门决算报表（见附表）</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一、《收入支出决算总表》</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二、《收入决算表》</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三、《支出决算表》</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四、《财政拨款收入支出决算总表》</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九、《财政拨款“三公”经费支出决算表》</w:t>
      </w:r>
    </w:p>
    <w:p>
      <w:pPr>
        <w:spacing w:line="580" w:lineRule="exact"/>
        <w:ind w:firstLine="0" w:firstLineChars="200"/>
        <w:jc w:val="both"/>
        <w:rPr>
          <w:lang w:eastAsia="zh-CN"/>
        </w:rPr>
      </w:pPr>
      <w:r>
        <w:rPr>
          <w:sz w:val="0"/>
          <w:szCs w:val="0"/>
          <w:lang w:eastAsia="zh-CN"/>
        </w:rPr>
        <w:br w:type="page"/>
      </w:r>
    </w:p>
    <w:p>
      <w:pPr>
        <w:spacing w:after="0" w:line="580" w:lineRule="exact"/>
        <w:ind w:firstLine="640" w:firstLineChars="200"/>
        <w:jc w:val="center"/>
        <w:outlineLvl w:val="0"/>
        <w:rPr>
          <w:rFonts w:ascii="黑体" w:eastAsia="黑体"/>
          <w:sz w:val="32"/>
          <w:szCs w:val="32"/>
          <w:lang w:eastAsia="zh-CN"/>
        </w:rPr>
      </w:pPr>
      <w:r>
        <w:rPr>
          <w:rFonts w:ascii="黑体" w:eastAsia="黑体"/>
          <w:sz w:val="32"/>
          <w:szCs w:val="32"/>
          <w:lang w:eastAsia="zh-CN"/>
        </w:rPr>
        <w:t>第一部分单位概况</w:t>
      </w:r>
    </w:p>
    <w:p>
      <w:pPr>
        <w:spacing w:after="0" w:line="580" w:lineRule="exact"/>
        <w:ind w:firstLine="640" w:firstLineChars="200"/>
        <w:jc w:val="both"/>
        <w:outlineLvl w:val="1"/>
        <w:rPr>
          <w:rFonts w:ascii="黑体" w:eastAsia="黑体"/>
          <w:sz w:val="32"/>
          <w:szCs w:val="32"/>
          <w:lang w:eastAsia="zh-CN"/>
        </w:rPr>
      </w:pPr>
      <w:r>
        <w:rPr>
          <w:rFonts w:ascii="黑体" w:eastAsia="黑体"/>
          <w:sz w:val="32"/>
          <w:szCs w:val="32"/>
          <w:lang w:eastAsia="zh-CN"/>
        </w:rPr>
        <w:t>一、主要职能</w:t>
      </w:r>
    </w:p>
    <w:p>
      <w:pPr>
        <w:spacing w:after="0" w:line="580" w:lineRule="exact"/>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分析预测自治区价格总水平和区内外重要商品价格走势，提出年度价格总水平预期调控目标的相关建议；联系协助相关行业开展价格监测分析；统筹协调重要商品价格指数编制发布工作；落实市场价格变动预警机制，提出预警建议；适时发布价格监测信息。</w:t>
      </w:r>
    </w:p>
    <w:p>
      <w:pPr>
        <w:spacing w:after="0" w:line="580" w:lineRule="exact"/>
        <w:ind w:firstLine="640" w:firstLineChars="200"/>
        <w:jc w:val="both"/>
        <w:outlineLvl w:val="1"/>
        <w:rPr>
          <w:rFonts w:ascii="黑体" w:eastAsia="黑体"/>
          <w:sz w:val="32"/>
          <w:szCs w:val="32"/>
          <w:lang w:eastAsia="zh-CN"/>
        </w:rPr>
      </w:pPr>
      <w:r>
        <w:rPr>
          <w:rFonts w:ascii="黑体" w:eastAsia="黑体"/>
          <w:sz w:val="32"/>
          <w:szCs w:val="32"/>
          <w:lang w:eastAsia="zh-CN"/>
        </w:rPr>
        <w:t>二、机构设置及人员情况</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仿宋_GB2312" w:eastAsia="仿宋_GB2312"/>
          <w:sz w:val="32"/>
          <w:szCs w:val="32"/>
          <w:lang w:eastAsia="zh-CN"/>
        </w:rPr>
        <w:t>新疆维吾尔自治区价格监测中</w:t>
      </w:r>
      <w:r>
        <w:rPr>
          <w:rFonts w:ascii="Times New Roman" w:hAnsi="Times New Roman" w:eastAsia="仿宋_GB2312" w:cs="Times New Roman"/>
          <w:sz w:val="32"/>
          <w:szCs w:val="32"/>
          <w:lang w:eastAsia="zh-CN"/>
        </w:rPr>
        <w:t>心2024年度，实有人数16人，其中：在职人员10人，较上年无变化；离休人员0人，较上年无变化；退休人员6人，较上年无变化</w:t>
      </w:r>
      <w:r>
        <w:rPr>
          <w:rFonts w:hint="eastAsia" w:ascii="Times New Roman" w:hAnsi="Times New Roman" w:eastAsia="仿宋_GB2312" w:cs="Times New Roman"/>
          <w:sz w:val="32"/>
          <w:szCs w:val="32"/>
          <w:lang w:eastAsia="zh-CN"/>
        </w:rPr>
        <w:t>；</w:t>
      </w:r>
    </w:p>
    <w:p>
      <w:pPr>
        <w:spacing w:after="0" w:line="580" w:lineRule="exact"/>
        <w:ind w:firstLine="640" w:firstLineChars="200"/>
        <w:jc w:val="both"/>
        <w:rPr>
          <w:rFonts w:ascii="仿宋_GB2312" w:eastAsia="仿宋_GB2312"/>
          <w:sz w:val="32"/>
          <w:szCs w:val="32"/>
          <w:lang w:eastAsia="zh-CN"/>
        </w:rPr>
      </w:pPr>
      <w:r>
        <w:rPr>
          <w:rFonts w:ascii="Times New Roman" w:hAnsi="Times New Roman" w:eastAsia="仿宋_GB2312" w:cs="Times New Roman"/>
          <w:sz w:val="32"/>
          <w:szCs w:val="32"/>
          <w:lang w:eastAsia="zh-CN"/>
        </w:rPr>
        <w:t>新疆维吾尔自治区价格监测中心无下属预算单位，下设</w:t>
      </w:r>
      <w:r>
        <w:rPr>
          <w:rFonts w:hint="eastAsia" w:ascii="Times New Roman" w:hAnsi="Times New Roman" w:eastAsia="仿宋_GB2312" w:cs="Times New Roman"/>
          <w:sz w:val="32"/>
          <w:szCs w:val="32"/>
          <w:lang w:eastAsia="zh-CN"/>
        </w:rPr>
        <w:t>3</w:t>
      </w:r>
      <w:r>
        <w:rPr>
          <w:rFonts w:ascii="Times New Roman" w:hAnsi="Times New Roman" w:eastAsia="仿宋_GB2312" w:cs="Times New Roman"/>
          <w:sz w:val="32"/>
          <w:szCs w:val="32"/>
          <w:lang w:eastAsia="zh-CN"/>
        </w:rPr>
        <w:t>个</w:t>
      </w:r>
      <w:r>
        <w:rPr>
          <w:rFonts w:hint="eastAsia" w:ascii="Times New Roman" w:hAnsi="Times New Roman" w:eastAsia="仿宋_GB2312" w:cs="Times New Roman"/>
          <w:sz w:val="32"/>
          <w:szCs w:val="32"/>
          <w:lang w:eastAsia="zh-CN"/>
        </w:rPr>
        <w:t>科室</w:t>
      </w:r>
      <w:r>
        <w:rPr>
          <w:rFonts w:ascii="Times New Roman" w:hAnsi="Times New Roman" w:eastAsia="仿宋_GB2312" w:cs="Times New Roman"/>
          <w:sz w:val="32"/>
          <w:szCs w:val="32"/>
          <w:lang w:eastAsia="zh-CN"/>
        </w:rPr>
        <w:t>，分别是：综合部、监测一部、监测二部</w:t>
      </w:r>
      <w:r>
        <w:rPr>
          <w:rFonts w:ascii="仿宋_GB2312" w:eastAsia="仿宋_GB2312"/>
          <w:sz w:val="32"/>
          <w:szCs w:val="32"/>
          <w:lang w:eastAsia="zh-CN"/>
        </w:rPr>
        <w:t>。</w:t>
      </w:r>
    </w:p>
    <w:p>
      <w:pPr>
        <w:spacing w:line="580" w:lineRule="exact"/>
        <w:ind w:firstLine="0" w:firstLineChars="200"/>
        <w:jc w:val="both"/>
        <w:rPr>
          <w:lang w:eastAsia="zh-CN"/>
        </w:rPr>
      </w:pPr>
      <w:r>
        <w:rPr>
          <w:sz w:val="0"/>
          <w:szCs w:val="0"/>
          <w:lang w:eastAsia="zh-CN"/>
        </w:rPr>
        <w:br w:type="page"/>
      </w:r>
    </w:p>
    <w:p>
      <w:pPr>
        <w:spacing w:after="0" w:line="580" w:lineRule="exact"/>
        <w:ind w:firstLine="640" w:firstLineChars="200"/>
        <w:jc w:val="center"/>
        <w:outlineLvl w:val="0"/>
        <w:rPr>
          <w:rFonts w:ascii="黑体" w:eastAsia="黑体"/>
          <w:sz w:val="32"/>
          <w:szCs w:val="32"/>
          <w:lang w:eastAsia="zh-CN"/>
        </w:rPr>
      </w:pPr>
      <w:r>
        <w:rPr>
          <w:rFonts w:ascii="黑体" w:eastAsia="黑体"/>
          <w:sz w:val="32"/>
          <w:szCs w:val="32"/>
          <w:lang w:eastAsia="zh-CN"/>
        </w:rPr>
        <w:t>第二部分部门决算情况说明</w:t>
      </w:r>
    </w:p>
    <w:p>
      <w:pPr>
        <w:spacing w:after="0" w:line="580" w:lineRule="exact"/>
        <w:ind w:firstLine="640" w:firstLineChars="200"/>
        <w:jc w:val="both"/>
        <w:outlineLvl w:val="1"/>
        <w:rPr>
          <w:rFonts w:ascii="黑体" w:eastAsia="黑体"/>
          <w:sz w:val="32"/>
          <w:szCs w:val="32"/>
          <w:lang w:eastAsia="zh-CN"/>
        </w:rPr>
      </w:pPr>
      <w:r>
        <w:rPr>
          <w:rFonts w:ascii="黑体" w:eastAsia="黑体"/>
          <w:sz w:val="32"/>
          <w:szCs w:val="32"/>
          <w:lang w:eastAsia="zh-CN"/>
        </w:rPr>
        <w:t>一、收入支出决算总体情况说明</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2024年度收入总计277.39万元，其中：本年收入合计262.39万元，使用非财政拨款结余（含专用结余）15.00万元，年初结转和结余0.00万元。</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2024年度支出总计277.39万元，其中：本年支出合计277.24万元，结余分配0.00万元，年末结转和结余0.15万元。</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收入支出总体与上年相比，增加23.54万元，增长9.27%，主要原因是：</w:t>
      </w:r>
      <w:r>
        <w:rPr>
          <w:rFonts w:hint="eastAsia" w:ascii="Times New Roman" w:hAnsi="Times New Roman" w:eastAsia="仿宋_GB2312" w:cs="Times New Roman"/>
          <w:sz w:val="32"/>
          <w:szCs w:val="32"/>
          <w:lang w:eastAsia="zh-CN"/>
        </w:rPr>
        <w:t>本年度增加自治区价格监测管理系统建设项目</w:t>
      </w:r>
      <w:r>
        <w:rPr>
          <w:rFonts w:ascii="Times New Roman" w:hAnsi="Times New Roman" w:eastAsia="仿宋_GB2312" w:cs="Times New Roman"/>
          <w:sz w:val="32"/>
          <w:szCs w:val="32"/>
          <w:lang w:eastAsia="zh-CN"/>
        </w:rPr>
        <w:t>。</w:t>
      </w:r>
    </w:p>
    <w:p>
      <w:pPr>
        <w:spacing w:after="0" w:line="580" w:lineRule="exact"/>
        <w:ind w:firstLine="640" w:firstLineChars="200"/>
        <w:jc w:val="both"/>
        <w:outlineLvl w:val="1"/>
        <w:rPr>
          <w:rFonts w:ascii="黑体" w:eastAsia="黑体"/>
          <w:sz w:val="32"/>
          <w:szCs w:val="32"/>
          <w:lang w:eastAsia="zh-CN"/>
        </w:rPr>
      </w:pPr>
      <w:r>
        <w:rPr>
          <w:rFonts w:ascii="黑体" w:eastAsia="黑体"/>
          <w:sz w:val="32"/>
          <w:szCs w:val="32"/>
          <w:lang w:eastAsia="zh-CN"/>
        </w:rPr>
        <w:t>二、收入决算情况说明</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本年收入262.39万元，其中：财政拨款收入247.01万元,占94.14%；上级补助收入0.00万元,占0.00%；事业收入0.00万元，占0.00%；经营收入0.00万元,占0.00%；附属单位上缴收入0.00万元，占0.00%；其他收入15.39万元，占5.87%。</w:t>
      </w:r>
    </w:p>
    <w:p>
      <w:pPr>
        <w:spacing w:after="0" w:line="580" w:lineRule="exact"/>
        <w:ind w:firstLine="640" w:firstLineChars="200"/>
        <w:jc w:val="both"/>
        <w:outlineLvl w:val="1"/>
        <w:rPr>
          <w:rFonts w:ascii="黑体" w:eastAsia="黑体"/>
          <w:sz w:val="32"/>
          <w:szCs w:val="32"/>
          <w:lang w:eastAsia="zh-CN"/>
        </w:rPr>
      </w:pPr>
      <w:r>
        <w:rPr>
          <w:rFonts w:ascii="黑体" w:eastAsia="黑体"/>
          <w:sz w:val="32"/>
          <w:szCs w:val="32"/>
          <w:lang w:eastAsia="zh-CN"/>
        </w:rPr>
        <w:t>三、支出决算情况说明</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本年支出277.24万元，其中：基本支出216.48万元，占78.08%；项目支出60.76万元，占21.92%；上缴上级支出0.00万元，占0.00%；经营支出0.00万元，占0.00%；对附属单位补助支出0.00万元，占0.00%。</w:t>
      </w:r>
    </w:p>
    <w:p>
      <w:pPr>
        <w:spacing w:after="0" w:line="580" w:lineRule="exact"/>
        <w:ind w:firstLine="640" w:firstLineChars="200"/>
        <w:jc w:val="both"/>
        <w:outlineLvl w:val="1"/>
        <w:rPr>
          <w:rFonts w:ascii="黑体" w:eastAsia="黑体"/>
          <w:sz w:val="32"/>
          <w:szCs w:val="32"/>
          <w:lang w:eastAsia="zh-CN"/>
        </w:rPr>
      </w:pPr>
      <w:r>
        <w:rPr>
          <w:rFonts w:ascii="黑体" w:eastAsia="黑体"/>
          <w:sz w:val="32"/>
          <w:szCs w:val="32"/>
          <w:lang w:eastAsia="zh-CN"/>
        </w:rPr>
        <w:t>四、财政拨款收入支出决算总体情况说明</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2024年度财政拨款收入总计247.01万元，其中：年初财政拨款结转和结余0.00万元，本年财政拨款收入247.01万元。财政拨款支出总计247.01万元，其中：年末财政拨款结转和结余0.00万元，本年财政拨款支出247.01万元。</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财政拨款收入支出总体与上年相比，增加29.28万元，增长13.45%，主要原因是：</w:t>
      </w:r>
      <w:r>
        <w:rPr>
          <w:rFonts w:hint="eastAsia" w:ascii="Times New Roman" w:hAnsi="Times New Roman" w:eastAsia="仿宋_GB2312" w:cs="Times New Roman"/>
          <w:sz w:val="32"/>
          <w:szCs w:val="32"/>
          <w:lang w:eastAsia="zh-CN"/>
        </w:rPr>
        <w:t>本年度增加自治区价格监测管理系统建设项目</w:t>
      </w:r>
      <w:r>
        <w:rPr>
          <w:rFonts w:ascii="Times New Roman" w:hAnsi="Times New Roman" w:eastAsia="仿宋_GB2312" w:cs="Times New Roman"/>
          <w:sz w:val="32"/>
          <w:szCs w:val="32"/>
          <w:lang w:eastAsia="zh-CN"/>
        </w:rPr>
        <w:t>。与年初预算相比，年初预算数213.15万元，决算数247.01万元，预决算差异率15.89%，主要原因是：</w:t>
      </w:r>
      <w:r>
        <w:rPr>
          <w:rFonts w:hint="eastAsia" w:ascii="Times New Roman" w:hAnsi="Times New Roman" w:eastAsia="仿宋_GB2312" w:cs="Times New Roman"/>
          <w:sz w:val="32"/>
          <w:szCs w:val="32"/>
          <w:lang w:eastAsia="zh-CN"/>
        </w:rPr>
        <w:t>年中追加自治区价格监测管理系统建设项目，导致预决算存在差异</w:t>
      </w:r>
      <w:r>
        <w:rPr>
          <w:rFonts w:ascii="Times New Roman" w:hAnsi="Times New Roman" w:eastAsia="仿宋_GB2312" w:cs="Times New Roman"/>
          <w:sz w:val="32"/>
          <w:szCs w:val="32"/>
          <w:lang w:eastAsia="zh-CN"/>
        </w:rPr>
        <w:t>。</w:t>
      </w:r>
    </w:p>
    <w:p>
      <w:pPr>
        <w:spacing w:after="0" w:line="580" w:lineRule="exact"/>
        <w:ind w:firstLine="640" w:firstLineChars="200"/>
        <w:jc w:val="both"/>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pPr>
        <w:spacing w:after="0" w:line="580" w:lineRule="exact"/>
        <w:ind w:firstLine="642" w:firstLineChars="200"/>
        <w:jc w:val="both"/>
        <w:outlineLvl w:val="2"/>
        <w:rPr>
          <w:rFonts w:ascii="Times New Roman" w:hAnsi="Times New Roman" w:eastAsia="楷体_GB2312" w:cs="Times New Roman"/>
          <w:b/>
          <w:kern w:val="2"/>
          <w:sz w:val="32"/>
          <w:szCs w:val="32"/>
          <w:lang w:eastAsia="zh-CN"/>
        </w:rPr>
      </w:pPr>
      <w:r>
        <w:rPr>
          <w:rFonts w:ascii="Times New Roman" w:hAnsi="Times New Roman" w:eastAsia="楷体_GB2312" w:cs="Times New Roman"/>
          <w:b/>
          <w:kern w:val="2"/>
          <w:sz w:val="32"/>
          <w:szCs w:val="32"/>
          <w:lang w:eastAsia="zh-CN"/>
        </w:rPr>
        <w:t>（一）一般公共预算财政拨款支出决算总体情况</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2024年度一般公共预算财政拨款支出247.01万元，占本年支出合计的89.10%。与上年相比，增加29.28万元，增长13.45%，主要原因是：</w:t>
      </w:r>
      <w:r>
        <w:rPr>
          <w:rFonts w:hint="eastAsia" w:ascii="Times New Roman" w:hAnsi="Times New Roman" w:eastAsia="仿宋_GB2312" w:cs="Times New Roman"/>
          <w:sz w:val="32"/>
          <w:szCs w:val="32"/>
          <w:lang w:eastAsia="zh-CN"/>
        </w:rPr>
        <w:t>本年度增加自治区价格监测管理系统建设项目</w:t>
      </w:r>
      <w:r>
        <w:rPr>
          <w:rFonts w:ascii="Times New Roman" w:hAnsi="Times New Roman" w:eastAsia="仿宋_GB2312" w:cs="Times New Roman"/>
          <w:sz w:val="32"/>
          <w:szCs w:val="32"/>
          <w:lang w:eastAsia="zh-CN"/>
        </w:rPr>
        <w:t>。与年初预算相比，年初预算数213.15万元，决算数247.01万元，预决算差异率15.89%，主要原因是：</w:t>
      </w:r>
      <w:r>
        <w:rPr>
          <w:rFonts w:hint="eastAsia" w:ascii="Times New Roman" w:hAnsi="Times New Roman" w:eastAsia="仿宋_GB2312" w:cs="Times New Roman"/>
          <w:sz w:val="32"/>
          <w:szCs w:val="32"/>
          <w:lang w:eastAsia="zh-CN"/>
        </w:rPr>
        <w:t>年中追加自治区价格监测管理系统建设项目，导致预决算存在差异</w:t>
      </w:r>
      <w:r>
        <w:rPr>
          <w:rFonts w:ascii="Times New Roman" w:hAnsi="Times New Roman" w:eastAsia="仿宋_GB2312" w:cs="Times New Roman"/>
          <w:sz w:val="32"/>
          <w:szCs w:val="32"/>
          <w:lang w:eastAsia="zh-CN"/>
        </w:rPr>
        <w:t>。</w:t>
      </w:r>
    </w:p>
    <w:p>
      <w:pPr>
        <w:spacing w:after="0" w:line="580" w:lineRule="exact"/>
        <w:ind w:firstLine="642" w:firstLineChars="200"/>
        <w:jc w:val="both"/>
        <w:outlineLvl w:val="2"/>
        <w:rPr>
          <w:rFonts w:ascii="Times New Roman" w:hAnsi="Times New Roman" w:eastAsia="楷体_GB2312" w:cs="Times New Roman"/>
          <w:b/>
          <w:kern w:val="2"/>
          <w:sz w:val="32"/>
          <w:szCs w:val="32"/>
          <w:lang w:eastAsia="zh-CN"/>
        </w:rPr>
      </w:pPr>
      <w:r>
        <w:rPr>
          <w:rFonts w:ascii="Times New Roman" w:hAnsi="Times New Roman" w:eastAsia="楷体_GB2312" w:cs="Times New Roman"/>
          <w:b/>
          <w:kern w:val="2"/>
          <w:sz w:val="32"/>
          <w:szCs w:val="32"/>
          <w:lang w:eastAsia="zh-CN"/>
        </w:rPr>
        <w:t>（二）一般公共预算财政拨款支出决算结构情况</w:t>
      </w:r>
    </w:p>
    <w:p>
      <w:pPr>
        <w:spacing w:after="0" w:line="580" w:lineRule="exact"/>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lang w:eastAsia="zh-CN"/>
        </w:rPr>
        <w:t>一般公共服务支出（类）183.47万元，占74.28%。</w:t>
      </w:r>
    </w:p>
    <w:p>
      <w:pPr>
        <w:spacing w:after="0" w:line="580" w:lineRule="exact"/>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2.</w:t>
      </w:r>
      <w:r>
        <w:rPr>
          <w:rFonts w:ascii="Times New Roman" w:hAnsi="Times New Roman" w:eastAsia="仿宋_GB2312" w:cs="Times New Roman"/>
          <w:sz w:val="32"/>
          <w:szCs w:val="32"/>
          <w:lang w:eastAsia="zh-CN"/>
        </w:rPr>
        <w:t>社会保障和就业支出（类）32.19万元，占13.03%。</w:t>
      </w:r>
    </w:p>
    <w:p>
      <w:pPr>
        <w:spacing w:after="0" w:line="580" w:lineRule="exact"/>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lang w:eastAsia="zh-CN"/>
        </w:rPr>
        <w:t>卫生健康支出（类）17.15万元，占6.94%。</w:t>
      </w:r>
    </w:p>
    <w:p>
      <w:pPr>
        <w:spacing w:after="0" w:line="580" w:lineRule="exact"/>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4.</w:t>
      </w:r>
      <w:bookmarkStart w:id="0" w:name="_GoBack"/>
      <w:bookmarkEnd w:id="0"/>
      <w:r>
        <w:rPr>
          <w:rFonts w:ascii="Times New Roman" w:hAnsi="Times New Roman" w:eastAsia="仿宋_GB2312" w:cs="Times New Roman"/>
          <w:sz w:val="32"/>
          <w:szCs w:val="32"/>
          <w:lang w:eastAsia="zh-CN"/>
        </w:rPr>
        <w:t>住房保障支出（类）14.19万元，占5.74%。</w:t>
      </w:r>
    </w:p>
    <w:p>
      <w:pPr>
        <w:spacing w:after="0" w:line="580" w:lineRule="exact"/>
        <w:ind w:firstLine="642" w:firstLineChars="200"/>
        <w:jc w:val="both"/>
        <w:outlineLvl w:val="2"/>
        <w:rPr>
          <w:rFonts w:ascii="Times New Roman" w:hAnsi="Times New Roman" w:eastAsia="楷体_GB2312" w:cs="Times New Roman"/>
          <w:b/>
          <w:kern w:val="2"/>
          <w:sz w:val="32"/>
          <w:szCs w:val="32"/>
          <w:lang w:eastAsia="zh-CN"/>
        </w:rPr>
      </w:pPr>
      <w:r>
        <w:rPr>
          <w:rFonts w:ascii="Times New Roman" w:hAnsi="Times New Roman" w:eastAsia="楷体_GB2312" w:cs="Times New Roman"/>
          <w:b/>
          <w:kern w:val="2"/>
          <w:sz w:val="32"/>
          <w:szCs w:val="32"/>
          <w:lang w:eastAsia="zh-CN"/>
        </w:rPr>
        <w:t>（三）一般公共预算财政拨款支出决算具体情况</w:t>
      </w:r>
    </w:p>
    <w:p>
      <w:pPr>
        <w:numPr>
          <w:ilvl w:val="0"/>
          <w:numId w:val="1"/>
        </w:numPr>
        <w:spacing w:after="0" w:line="580" w:lineRule="exact"/>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一般公共服务支出（类）发展与改革事务（款）物价管理（项）：支出决算数为14.00万元，比上年决算减少3.34万元，下降19.26%，主要原因是：</w:t>
      </w:r>
      <w:r>
        <w:rPr>
          <w:rFonts w:hint="eastAsia" w:ascii="Times New Roman" w:hAnsi="Times New Roman" w:eastAsia="仿宋_GB2312" w:cs="Times New Roman"/>
          <w:sz w:val="32"/>
          <w:szCs w:val="32"/>
          <w:lang w:eastAsia="zh-CN"/>
        </w:rPr>
        <w:t>本年价格监测专项业务经费较上年减少。</w:t>
      </w:r>
    </w:p>
    <w:p>
      <w:pPr>
        <w:numPr>
          <w:ilvl w:val="0"/>
          <w:numId w:val="1"/>
        </w:numPr>
        <w:spacing w:after="0" w:line="580" w:lineRule="exact"/>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一般公共服务支出（类）发展与改革事务（款）事业运行（项）：支出决算数为152.71万元，比上年决算增加10.23万元，增长7.18%，主要原因是：</w:t>
      </w:r>
      <w:r>
        <w:rPr>
          <w:rFonts w:hint="eastAsia" w:ascii="Times New Roman" w:hAnsi="Times New Roman" w:eastAsia="仿宋_GB2312" w:cs="Times New Roman"/>
          <w:sz w:val="32"/>
          <w:szCs w:val="32"/>
          <w:lang w:eastAsia="zh-CN"/>
        </w:rPr>
        <w:t>本年在职人员工资调增，导致相关人员经费较上年有所增加。</w:t>
      </w:r>
    </w:p>
    <w:p>
      <w:pPr>
        <w:numPr>
          <w:ilvl w:val="0"/>
          <w:numId w:val="1"/>
        </w:numPr>
        <w:spacing w:after="0" w:line="580" w:lineRule="exact"/>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一般公共服务支出（类）发展与改革事务（款）其他发展与改革事务支出（项）：支出决算数为16.76万元，比上年决算增加16.76万元，增长100.00%，主要原因是：</w:t>
      </w:r>
      <w:r>
        <w:rPr>
          <w:rFonts w:hint="eastAsia" w:ascii="Times New Roman" w:hAnsi="Times New Roman" w:eastAsia="仿宋_GB2312" w:cs="Times New Roman"/>
          <w:sz w:val="32"/>
          <w:szCs w:val="32"/>
          <w:lang w:eastAsia="zh-CN"/>
        </w:rPr>
        <w:t>本年度增加自治区价格监测管理系统建设项目。</w:t>
      </w:r>
    </w:p>
    <w:p>
      <w:pPr>
        <w:numPr>
          <w:ilvl w:val="0"/>
          <w:numId w:val="1"/>
        </w:numPr>
        <w:spacing w:after="0" w:line="580" w:lineRule="exact"/>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社会保障和就业支出（类）行政事业单位养老支出（款）事业单位离退休（项）：支出决算数为13.27万元，比上年决算增加1.33万元，增长11.14%，主要原因是：</w:t>
      </w:r>
      <w:r>
        <w:rPr>
          <w:rFonts w:hint="eastAsia" w:ascii="Times New Roman" w:hAnsi="Times New Roman" w:eastAsia="仿宋_GB2312" w:cs="Times New Roman"/>
          <w:sz w:val="32"/>
          <w:szCs w:val="32"/>
          <w:lang w:eastAsia="zh-CN"/>
        </w:rPr>
        <w:t>本年增加退休人员基础绩效奖，退休费支出增加。</w:t>
      </w:r>
    </w:p>
    <w:p>
      <w:pPr>
        <w:numPr>
          <w:ilvl w:val="0"/>
          <w:numId w:val="1"/>
        </w:numPr>
        <w:spacing w:after="0" w:line="580" w:lineRule="exact"/>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社会保障和就业支出（类）行政事业单位养老支出（款）机关事业单位基本养老保险缴费支出（项）：支出决算数为18.93万元，比上年决算增加0.80万元，增长4.41%，主要原因是：</w:t>
      </w:r>
      <w:r>
        <w:rPr>
          <w:rFonts w:hint="eastAsia" w:ascii="Times New Roman" w:hAnsi="Times New Roman" w:eastAsia="仿宋_GB2312" w:cs="Times New Roman"/>
          <w:sz w:val="32"/>
          <w:szCs w:val="32"/>
          <w:lang w:eastAsia="zh-CN"/>
        </w:rPr>
        <w:t>本年在职人员工资基数调增，养老缴费基数上涨，相应支出增加。</w:t>
      </w:r>
    </w:p>
    <w:p>
      <w:pPr>
        <w:numPr>
          <w:ilvl w:val="0"/>
          <w:numId w:val="1"/>
        </w:numPr>
        <w:spacing w:after="0" w:line="580" w:lineRule="exact"/>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卫生健康支出（类）行政事业单位医疗（款）事业单位医疗（项）：支出决算数为8.87万元，比上年决算增加0.99万元，增长12.56%，主要原因是：</w:t>
      </w:r>
      <w:r>
        <w:rPr>
          <w:rFonts w:hint="eastAsia" w:ascii="Times New Roman" w:hAnsi="Times New Roman" w:eastAsia="仿宋_GB2312" w:cs="Times New Roman"/>
          <w:sz w:val="32"/>
          <w:szCs w:val="32"/>
          <w:lang w:eastAsia="zh-CN"/>
        </w:rPr>
        <w:t>本年在职人员工资基数调增，医疗缴费基数上涨，相应支出增加。</w:t>
      </w:r>
    </w:p>
    <w:p>
      <w:pPr>
        <w:numPr>
          <w:ilvl w:val="0"/>
          <w:numId w:val="1"/>
        </w:numPr>
        <w:spacing w:after="0" w:line="580" w:lineRule="exact"/>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卫生健康支出（类）行政事业单位医疗（款）公务员医疗补助（项）：支出决算数为8.28万元，比上年决算增加0.92万元，增长12.50%，主要原因是：</w:t>
      </w:r>
      <w:r>
        <w:rPr>
          <w:rFonts w:hint="eastAsia" w:ascii="Times New Roman" w:hAnsi="Times New Roman" w:eastAsia="仿宋_GB2312" w:cs="Times New Roman"/>
          <w:sz w:val="32"/>
          <w:szCs w:val="32"/>
          <w:lang w:eastAsia="zh-CN"/>
        </w:rPr>
        <w:t>本年在职人员工资基数调增，医疗缴费基数上涨，相应支出增加。</w:t>
      </w:r>
    </w:p>
    <w:p>
      <w:pPr>
        <w:numPr>
          <w:ilvl w:val="0"/>
          <w:numId w:val="1"/>
        </w:numPr>
        <w:spacing w:after="0" w:line="580" w:lineRule="exact"/>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住房保障支出（类）住房改革支出（款）住房公积金（项）：支出决算数为14.19万元，比上年决算增加1.58万元，增长12.53%，主要原因是：</w:t>
      </w:r>
      <w:r>
        <w:rPr>
          <w:rFonts w:hint="eastAsia" w:ascii="Times New Roman" w:hAnsi="Times New Roman" w:eastAsia="仿宋_GB2312" w:cs="Times New Roman"/>
          <w:sz w:val="32"/>
          <w:szCs w:val="32"/>
          <w:lang w:eastAsia="zh-CN"/>
        </w:rPr>
        <w:t>本年在职人员工资基数调增，公积金缴费基数上涨，相应支出增加。</w:t>
      </w:r>
    </w:p>
    <w:p>
      <w:pPr>
        <w:spacing w:after="0" w:line="580" w:lineRule="exact"/>
        <w:ind w:firstLine="640" w:firstLineChars="200"/>
        <w:jc w:val="both"/>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一般公共预算财政拨款基本支出216.25万元，其中：人员经费204.75万元，包括：基本工资、津贴补贴、奖金、绩效工资、机关事业单位基本养老保险缴费、职工基本医疗保险缴费、公务员医疗补助缴费、其他社会保障缴费、住房公积金、退休费、奖励金和其他对个人和家庭的补助。</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公用经费11.50万元，包括：办公费、水费、电费、差旅费、工会经费和福利费。</w:t>
      </w:r>
    </w:p>
    <w:p>
      <w:pPr>
        <w:spacing w:after="0" w:line="580" w:lineRule="exact"/>
        <w:ind w:firstLine="640" w:firstLineChars="200"/>
        <w:jc w:val="both"/>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pPr>
        <w:spacing w:after="0" w:line="580" w:lineRule="exact"/>
        <w:ind w:firstLine="640" w:firstLineChars="200"/>
        <w:jc w:val="both"/>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pPr>
        <w:spacing w:after="0" w:line="580" w:lineRule="exact"/>
        <w:ind w:firstLine="640" w:firstLineChars="200"/>
        <w:jc w:val="both"/>
        <w:outlineLvl w:val="1"/>
        <w:rPr>
          <w:rFonts w:ascii="黑体" w:eastAsia="黑体"/>
          <w:sz w:val="32"/>
          <w:szCs w:val="32"/>
          <w:lang w:eastAsia="zh-CN"/>
        </w:rPr>
      </w:pPr>
      <w:r>
        <w:rPr>
          <w:rFonts w:ascii="黑体" w:eastAsia="黑体"/>
          <w:sz w:val="32"/>
          <w:szCs w:val="32"/>
          <w:lang w:eastAsia="zh-CN"/>
        </w:rPr>
        <w:t>九、财政拨款“三公”经费支出决算情况说明</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2024年度财政拨款“三公”经费支出0.00万元，与上年相比无变化，主要原因是：</w:t>
      </w:r>
      <w:r>
        <w:rPr>
          <w:rFonts w:hint="eastAsia" w:ascii="Times New Roman" w:hAnsi="Times New Roman" w:eastAsia="仿宋_GB2312" w:cs="Times New Roman"/>
          <w:sz w:val="32"/>
          <w:szCs w:val="32"/>
          <w:lang w:eastAsia="zh-CN"/>
        </w:rPr>
        <w:t>2023年与2024年均未安排财政拨款“三公”经费支出</w:t>
      </w:r>
      <w:r>
        <w:rPr>
          <w:rFonts w:ascii="Times New Roman" w:hAnsi="Times New Roman" w:eastAsia="仿宋_GB2312" w:cs="Times New Roman"/>
          <w:sz w:val="32"/>
          <w:szCs w:val="32"/>
          <w:lang w:eastAsia="zh-CN"/>
        </w:rPr>
        <w:t>。其中：因公出国（境）费支出0.00万元,占0.00%，与上年相比无变化，主要原因是：</w:t>
      </w:r>
      <w:r>
        <w:rPr>
          <w:rFonts w:hint="eastAsia" w:ascii="Times New Roman" w:hAnsi="Times New Roman" w:eastAsia="仿宋_GB2312" w:cs="Times New Roman"/>
          <w:sz w:val="32"/>
          <w:szCs w:val="32"/>
          <w:lang w:eastAsia="zh-CN"/>
        </w:rPr>
        <w:t>2023年与2024年均未安排因公出国（境）费支出</w:t>
      </w:r>
      <w:r>
        <w:rPr>
          <w:rFonts w:ascii="Times New Roman" w:hAnsi="Times New Roman" w:eastAsia="仿宋_GB2312" w:cs="Times New Roman"/>
          <w:sz w:val="32"/>
          <w:szCs w:val="32"/>
          <w:lang w:eastAsia="zh-CN"/>
        </w:rPr>
        <w:t>；公务用车购置及运行维护费支出0.00万元，占0.00%，与上年相比无变化，主要原因是：</w:t>
      </w:r>
      <w:r>
        <w:rPr>
          <w:rFonts w:hint="eastAsia" w:ascii="Times New Roman" w:hAnsi="Times New Roman" w:eastAsia="仿宋_GB2312" w:cs="Times New Roman"/>
          <w:sz w:val="32"/>
          <w:szCs w:val="32"/>
          <w:lang w:eastAsia="zh-CN"/>
        </w:rPr>
        <w:t>2023年与2024年均未安排公务用车购置及运行维护费支出</w:t>
      </w:r>
      <w:r>
        <w:rPr>
          <w:rFonts w:ascii="Times New Roman" w:hAnsi="Times New Roman" w:eastAsia="仿宋_GB2312" w:cs="Times New Roman"/>
          <w:sz w:val="32"/>
          <w:szCs w:val="32"/>
          <w:lang w:eastAsia="zh-CN"/>
        </w:rPr>
        <w:t>；公务接待费支出0.00万元，占0.00%，与上年相比无变化，主要原因是：</w:t>
      </w:r>
      <w:r>
        <w:rPr>
          <w:rFonts w:hint="eastAsia" w:ascii="Times New Roman" w:hAnsi="Times New Roman" w:eastAsia="仿宋_GB2312" w:cs="Times New Roman"/>
          <w:sz w:val="32"/>
          <w:szCs w:val="32"/>
          <w:lang w:eastAsia="zh-CN"/>
        </w:rPr>
        <w:t>2023年与2024年均未安排公务接待费支出</w:t>
      </w:r>
      <w:r>
        <w:rPr>
          <w:rFonts w:ascii="Times New Roman" w:hAnsi="Times New Roman" w:eastAsia="仿宋_GB2312" w:cs="Times New Roman"/>
          <w:sz w:val="32"/>
          <w:szCs w:val="32"/>
          <w:lang w:eastAsia="zh-CN"/>
        </w:rPr>
        <w:t>。</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具体情况如下：</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因公出国（境）费支出0.00万元，开支内容包括</w:t>
      </w:r>
      <w:r>
        <w:rPr>
          <w:rFonts w:hint="eastAsia" w:ascii="Times New Roman" w:hAnsi="Times New Roman" w:eastAsia="仿宋_GB2312" w:cs="Times New Roman"/>
          <w:sz w:val="32"/>
          <w:szCs w:val="32"/>
          <w:lang w:eastAsia="zh-CN"/>
        </w:rPr>
        <w:t>本单位无因公出国（境）费</w:t>
      </w:r>
      <w:r>
        <w:rPr>
          <w:rFonts w:ascii="Times New Roman" w:hAnsi="Times New Roman" w:eastAsia="仿宋_GB2312" w:cs="Times New Roman"/>
          <w:sz w:val="32"/>
          <w:szCs w:val="32"/>
          <w:lang w:eastAsia="zh-CN"/>
        </w:rPr>
        <w:t>。单位全年安排的因公出国（境）团组0个，因公出国（境）0人次。</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公务用车购置及运行维护费0.00万元，其中：公务用车购置费0.00万元，公务用车运行维护费0.00万元。公务用车运行维护费开支内容包括</w:t>
      </w:r>
      <w:r>
        <w:rPr>
          <w:rFonts w:hint="eastAsia" w:ascii="Times New Roman" w:hAnsi="Times New Roman" w:eastAsia="仿宋_GB2312" w:cs="Times New Roman"/>
          <w:sz w:val="32"/>
          <w:szCs w:val="32"/>
          <w:lang w:eastAsia="zh-CN"/>
        </w:rPr>
        <w:t>本单位无公务用车运行维护费</w:t>
      </w:r>
      <w:r>
        <w:rPr>
          <w:rFonts w:ascii="Times New Roman" w:hAnsi="Times New Roman" w:eastAsia="仿宋_GB2312" w:cs="Times New Roman"/>
          <w:sz w:val="32"/>
          <w:szCs w:val="32"/>
          <w:lang w:eastAsia="zh-CN"/>
        </w:rPr>
        <w:t>。公务用车购置数0辆，公务用车保有量0辆。国有资产占用情况中固定资产车辆0辆，与公务用车保有量差异原因是：</w:t>
      </w:r>
      <w:r>
        <w:rPr>
          <w:rFonts w:hint="eastAsia" w:ascii="Times New Roman" w:hAnsi="Times New Roman" w:eastAsia="仿宋_GB2312" w:cs="Times New Roman"/>
          <w:sz w:val="32"/>
          <w:szCs w:val="32"/>
          <w:lang w:eastAsia="zh-CN"/>
        </w:rPr>
        <w:t>本单位无固定资产车辆</w:t>
      </w:r>
      <w:r>
        <w:rPr>
          <w:rFonts w:ascii="Times New Roman" w:hAnsi="Times New Roman" w:eastAsia="仿宋_GB2312" w:cs="Times New Roman"/>
          <w:sz w:val="32"/>
          <w:szCs w:val="32"/>
          <w:lang w:eastAsia="zh-CN"/>
        </w:rPr>
        <w:t>。</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公务接待费0.00万元，开支内容包括</w:t>
      </w:r>
      <w:r>
        <w:rPr>
          <w:rFonts w:hint="eastAsia" w:ascii="Times New Roman" w:hAnsi="Times New Roman" w:eastAsia="仿宋_GB2312" w:cs="Times New Roman"/>
          <w:sz w:val="32"/>
          <w:szCs w:val="32"/>
          <w:lang w:eastAsia="zh-CN"/>
        </w:rPr>
        <w:t>本单位无公务接待费</w:t>
      </w:r>
      <w:r>
        <w:rPr>
          <w:rFonts w:ascii="Times New Roman" w:hAnsi="Times New Roman" w:eastAsia="仿宋_GB2312" w:cs="Times New Roman"/>
          <w:sz w:val="32"/>
          <w:szCs w:val="32"/>
          <w:lang w:eastAsia="zh-CN"/>
        </w:rPr>
        <w:t>。单位全年安排的国内公务接待0批次，0人次。</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与全年预算相比，财政拨款“三公”经费支出全年预算数0.00万元，决算数0.00万元，预决算差异率0.00%，主要原因是：</w:t>
      </w:r>
      <w:r>
        <w:rPr>
          <w:rFonts w:hint="eastAsia" w:ascii="Times New Roman" w:hAnsi="Times New Roman" w:eastAsia="仿宋_GB2312" w:cs="Times New Roman"/>
          <w:sz w:val="32"/>
          <w:szCs w:val="32"/>
          <w:lang w:eastAsia="zh-CN"/>
        </w:rPr>
        <w:t>本单位无财政拨款“三公”经费</w:t>
      </w:r>
      <w:r>
        <w:rPr>
          <w:rFonts w:ascii="Times New Roman" w:hAnsi="Times New Roman" w:eastAsia="仿宋_GB2312" w:cs="Times New Roman"/>
          <w:sz w:val="32"/>
          <w:szCs w:val="32"/>
          <w:lang w:eastAsia="zh-CN"/>
        </w:rPr>
        <w:t>。其中：因公出国（境）费全年预算数0.00万元，决算数0.00万元，预决算差异率0.00%，主要原因是：</w:t>
      </w:r>
      <w:r>
        <w:rPr>
          <w:rFonts w:hint="eastAsia" w:ascii="Times New Roman" w:hAnsi="Times New Roman" w:eastAsia="仿宋_GB2312" w:cs="Times New Roman"/>
          <w:sz w:val="32"/>
          <w:szCs w:val="32"/>
          <w:lang w:eastAsia="zh-CN"/>
        </w:rPr>
        <w:t>本单位无因公出国（境）费</w:t>
      </w:r>
      <w:r>
        <w:rPr>
          <w:rFonts w:ascii="Times New Roman" w:hAnsi="Times New Roman" w:eastAsia="仿宋_GB2312" w:cs="Times New Roman"/>
          <w:sz w:val="32"/>
          <w:szCs w:val="32"/>
          <w:lang w:eastAsia="zh-CN"/>
        </w:rPr>
        <w:t>；公务用车购置费全年预算数0.00万元，决算数0.00万元，预决算差异率0.00%，主要原因是：</w:t>
      </w:r>
      <w:r>
        <w:rPr>
          <w:rFonts w:hint="eastAsia" w:ascii="Times New Roman" w:hAnsi="Times New Roman" w:eastAsia="仿宋_GB2312" w:cs="Times New Roman"/>
          <w:sz w:val="32"/>
          <w:szCs w:val="32"/>
          <w:lang w:eastAsia="zh-CN"/>
        </w:rPr>
        <w:t>本单位无公务用车购置费</w:t>
      </w:r>
      <w:r>
        <w:rPr>
          <w:rFonts w:ascii="Times New Roman" w:hAnsi="Times New Roman" w:eastAsia="仿宋_GB2312" w:cs="Times New Roman"/>
          <w:sz w:val="32"/>
          <w:szCs w:val="32"/>
          <w:lang w:eastAsia="zh-CN"/>
        </w:rPr>
        <w:t>；公务用车运行维护费全年预算数0.00万元，决算数0.00万元，预决算差异率0.00%，主要原因是：</w:t>
      </w:r>
      <w:r>
        <w:rPr>
          <w:rFonts w:hint="eastAsia" w:ascii="Times New Roman" w:hAnsi="Times New Roman" w:eastAsia="仿宋_GB2312" w:cs="Times New Roman"/>
          <w:sz w:val="32"/>
          <w:szCs w:val="32"/>
          <w:lang w:eastAsia="zh-CN"/>
        </w:rPr>
        <w:t>本单位无公务用车运行维护费</w:t>
      </w:r>
      <w:r>
        <w:rPr>
          <w:rFonts w:ascii="Times New Roman" w:hAnsi="Times New Roman" w:eastAsia="仿宋_GB2312" w:cs="Times New Roman"/>
          <w:sz w:val="32"/>
          <w:szCs w:val="32"/>
          <w:lang w:eastAsia="zh-CN"/>
        </w:rPr>
        <w:t>；公务接待费全年预算数0.00万元，决算数0.00万元，预决算差异率0.00%，主要原因是：</w:t>
      </w:r>
      <w:r>
        <w:rPr>
          <w:rFonts w:hint="eastAsia" w:ascii="Times New Roman" w:hAnsi="Times New Roman" w:eastAsia="仿宋_GB2312" w:cs="Times New Roman"/>
          <w:sz w:val="32"/>
          <w:szCs w:val="32"/>
          <w:lang w:eastAsia="zh-CN"/>
        </w:rPr>
        <w:t>本单位无公务接待费</w:t>
      </w:r>
      <w:r>
        <w:rPr>
          <w:rFonts w:ascii="Times New Roman" w:hAnsi="Times New Roman" w:eastAsia="仿宋_GB2312" w:cs="Times New Roman"/>
          <w:sz w:val="32"/>
          <w:szCs w:val="32"/>
          <w:lang w:eastAsia="zh-CN"/>
        </w:rPr>
        <w:t>。</w:t>
      </w:r>
    </w:p>
    <w:p>
      <w:pPr>
        <w:spacing w:after="0" w:line="580" w:lineRule="exact"/>
        <w:ind w:firstLine="640" w:firstLineChars="200"/>
        <w:jc w:val="both"/>
        <w:outlineLvl w:val="1"/>
        <w:rPr>
          <w:rFonts w:ascii="黑体" w:eastAsia="黑体"/>
          <w:sz w:val="32"/>
          <w:szCs w:val="32"/>
          <w:lang w:eastAsia="zh-CN"/>
        </w:rPr>
      </w:pPr>
      <w:r>
        <w:rPr>
          <w:rFonts w:ascii="黑体" w:eastAsia="黑体"/>
          <w:sz w:val="32"/>
          <w:szCs w:val="32"/>
          <w:lang w:eastAsia="zh-CN"/>
        </w:rPr>
        <w:t>十、其他重要事项的情况说明</w:t>
      </w:r>
    </w:p>
    <w:p>
      <w:pPr>
        <w:spacing w:after="0" w:line="580" w:lineRule="exact"/>
        <w:ind w:firstLine="642" w:firstLineChars="200"/>
        <w:jc w:val="both"/>
        <w:outlineLvl w:val="2"/>
        <w:rPr>
          <w:rFonts w:ascii="Times New Roman" w:hAnsi="Times New Roman" w:eastAsia="楷体_GB2312" w:cs="Times New Roman"/>
          <w:b/>
          <w:kern w:val="2"/>
          <w:sz w:val="32"/>
          <w:szCs w:val="32"/>
          <w:lang w:eastAsia="zh-CN"/>
        </w:rPr>
      </w:pPr>
      <w:r>
        <w:rPr>
          <w:rFonts w:ascii="Times New Roman" w:hAnsi="Times New Roman" w:eastAsia="楷体_GB2312" w:cs="Times New Roman"/>
          <w:b/>
          <w:kern w:val="2"/>
          <w:sz w:val="32"/>
          <w:szCs w:val="32"/>
          <w:lang w:eastAsia="zh-CN"/>
        </w:rPr>
        <w:t>（一）机关运行经费及公用经费支出情况</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2024年度公用经费支出11.50万元，比上年增加2.17万元，增长23.26%，主要原因是：</w:t>
      </w:r>
      <w:r>
        <w:rPr>
          <w:rFonts w:hint="eastAsia" w:ascii="Times New Roman" w:hAnsi="Times New Roman" w:eastAsia="仿宋_GB2312" w:cs="Times New Roman"/>
          <w:sz w:val="32"/>
          <w:szCs w:val="32"/>
          <w:lang w:eastAsia="zh-CN"/>
        </w:rPr>
        <w:t>本年差旅费增加，导致</w:t>
      </w:r>
      <w:r>
        <w:rPr>
          <w:rFonts w:ascii="Times New Roman" w:hAnsi="Times New Roman" w:eastAsia="仿宋_GB2312" w:cs="Times New Roman"/>
          <w:sz w:val="32"/>
          <w:szCs w:val="32"/>
          <w:lang w:eastAsia="zh-CN"/>
        </w:rPr>
        <w:t>公用经费支出</w:t>
      </w:r>
      <w:r>
        <w:rPr>
          <w:rFonts w:hint="eastAsia" w:ascii="Times New Roman" w:hAnsi="Times New Roman" w:eastAsia="仿宋_GB2312" w:cs="Times New Roman"/>
          <w:sz w:val="32"/>
          <w:szCs w:val="32"/>
          <w:lang w:eastAsia="zh-CN"/>
        </w:rPr>
        <w:t>增加</w:t>
      </w:r>
      <w:r>
        <w:rPr>
          <w:rFonts w:ascii="Times New Roman" w:hAnsi="Times New Roman" w:eastAsia="仿宋_GB2312" w:cs="Times New Roman"/>
          <w:sz w:val="32"/>
          <w:szCs w:val="32"/>
          <w:lang w:eastAsia="zh-CN"/>
        </w:rPr>
        <w:t>。</w:t>
      </w:r>
    </w:p>
    <w:p>
      <w:pPr>
        <w:spacing w:after="0" w:line="580" w:lineRule="exact"/>
        <w:ind w:firstLine="642" w:firstLineChars="200"/>
        <w:jc w:val="both"/>
        <w:outlineLvl w:val="2"/>
        <w:rPr>
          <w:rFonts w:ascii="Times New Roman" w:hAnsi="Times New Roman" w:eastAsia="楷体_GB2312" w:cs="Times New Roman"/>
          <w:b/>
          <w:kern w:val="2"/>
          <w:sz w:val="32"/>
          <w:szCs w:val="32"/>
          <w:lang w:eastAsia="zh-CN"/>
        </w:rPr>
      </w:pPr>
      <w:r>
        <w:rPr>
          <w:rFonts w:ascii="Times New Roman" w:hAnsi="Times New Roman" w:eastAsia="楷体_GB2312" w:cs="Times New Roman"/>
          <w:b/>
          <w:kern w:val="2"/>
          <w:sz w:val="32"/>
          <w:szCs w:val="32"/>
          <w:lang w:eastAsia="zh-CN"/>
        </w:rPr>
        <w:t>（二）政府采购情况</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2024年度政府采购支出总额16.92万元，其中：政府采购货物支出0.16万元、政府采购工程支出0.00万元、政府采购服务支出16.76万元。</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授予中小企业合同金额16.92万元，占政府采购支出总额的100.00%，其中：授予小微企业合同金额16.92万元，占政府采购支出总额的100.00%。</w:t>
      </w:r>
    </w:p>
    <w:p>
      <w:pPr>
        <w:spacing w:after="0" w:line="580" w:lineRule="exact"/>
        <w:ind w:firstLine="642" w:firstLineChars="200"/>
        <w:jc w:val="both"/>
        <w:outlineLvl w:val="2"/>
        <w:rPr>
          <w:rFonts w:ascii="Times New Roman" w:hAnsi="Times New Roman" w:eastAsia="楷体_GB2312" w:cs="Times New Roman"/>
          <w:b/>
          <w:kern w:val="2"/>
          <w:sz w:val="32"/>
          <w:szCs w:val="32"/>
          <w:lang w:eastAsia="zh-CN"/>
        </w:rPr>
      </w:pPr>
      <w:r>
        <w:rPr>
          <w:rFonts w:ascii="Times New Roman" w:hAnsi="Times New Roman" w:eastAsia="楷体_GB2312" w:cs="Times New Roman"/>
          <w:b/>
          <w:kern w:val="2"/>
          <w:sz w:val="32"/>
          <w:szCs w:val="32"/>
          <w:lang w:eastAsia="zh-CN"/>
        </w:rPr>
        <w:t>（三）国有资产占用情况说明</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w:t>
      </w:r>
      <w:r>
        <w:rPr>
          <w:rFonts w:hint="eastAsia" w:ascii="Times New Roman" w:hAnsi="Times New Roman" w:eastAsia="仿宋_GB2312" w:cs="Times New Roman"/>
          <w:sz w:val="32"/>
          <w:szCs w:val="32"/>
          <w:lang w:eastAsia="zh-CN"/>
        </w:rPr>
        <w:t>本单位无</w:t>
      </w:r>
      <w:r>
        <w:rPr>
          <w:rFonts w:ascii="Times New Roman" w:hAnsi="Times New Roman" w:eastAsia="仿宋_GB2312" w:cs="Times New Roman"/>
          <w:sz w:val="32"/>
          <w:szCs w:val="32"/>
          <w:lang w:eastAsia="zh-CN"/>
        </w:rPr>
        <w:t>其他用车;单价100万元（含）以上设备（不含车辆）0台（套）。</w:t>
      </w:r>
    </w:p>
    <w:p>
      <w:pPr>
        <w:spacing w:after="0" w:line="580" w:lineRule="exact"/>
        <w:ind w:firstLine="640" w:firstLineChars="200"/>
        <w:jc w:val="both"/>
        <w:outlineLvl w:val="1"/>
        <w:rPr>
          <w:rFonts w:ascii="黑体" w:eastAsia="黑体"/>
          <w:sz w:val="32"/>
          <w:szCs w:val="32"/>
          <w:lang w:eastAsia="zh-CN"/>
        </w:rPr>
      </w:pPr>
      <w:r>
        <w:rPr>
          <w:rFonts w:ascii="黑体" w:eastAsia="黑体"/>
          <w:sz w:val="32"/>
          <w:szCs w:val="32"/>
          <w:lang w:eastAsia="zh-CN"/>
        </w:rPr>
        <w:t>十一、预算绩效的情况说明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w:t>
      </w:r>
      <w:r>
        <w:rPr>
          <w:rFonts w:ascii="Times New Roman" w:hAnsi="Times New Roman" w:eastAsia="仿宋_GB2312" w:cs="Times New Roman"/>
          <w:sz w:val="32"/>
          <w:szCs w:val="32"/>
          <w:lang w:eastAsia="zh-CN"/>
        </w:rPr>
        <w:t>2024</w:t>
      </w:r>
      <w:r>
        <w:rPr>
          <w:rFonts w:ascii="仿宋_GB2312" w:eastAsia="仿宋_GB2312"/>
          <w:sz w:val="32"/>
          <w:szCs w:val="32"/>
          <w:lang w:eastAsia="zh-CN"/>
        </w:rPr>
        <w:t>年度预算绩效评价项目</w:t>
      </w:r>
      <w:r>
        <w:rPr>
          <w:rFonts w:hint="eastAsia" w:ascii="Times New Roman" w:hAnsi="Times New Roman" w:eastAsia="仿宋_GB2312" w:cs="Times New Roman"/>
          <w:sz w:val="32"/>
          <w:szCs w:val="32"/>
          <w:lang w:eastAsia="zh-CN"/>
        </w:rPr>
        <w:t>2</w:t>
      </w:r>
      <w:r>
        <w:rPr>
          <w:rFonts w:ascii="仿宋_GB2312" w:eastAsia="仿宋_GB2312"/>
          <w:sz w:val="32"/>
          <w:szCs w:val="32"/>
          <w:lang w:eastAsia="zh-CN"/>
        </w:rPr>
        <w:t>个，全年预算数</w:t>
      </w:r>
      <w:r>
        <w:rPr>
          <w:rFonts w:hint="eastAsia" w:ascii="Times New Roman" w:hAnsi="Times New Roman" w:eastAsia="仿宋_GB2312" w:cs="Times New Roman"/>
          <w:sz w:val="32"/>
          <w:szCs w:val="32"/>
          <w:lang w:eastAsia="zh-CN"/>
        </w:rPr>
        <w:t>29.00</w:t>
      </w:r>
      <w:r>
        <w:rPr>
          <w:rFonts w:ascii="仿宋_GB2312" w:eastAsia="仿宋_GB2312"/>
          <w:sz w:val="32"/>
          <w:szCs w:val="32"/>
          <w:lang w:eastAsia="zh-CN"/>
        </w:rPr>
        <w:t>万元，全年执行数</w:t>
      </w:r>
      <w:r>
        <w:rPr>
          <w:rFonts w:hint="eastAsia" w:ascii="Times New Roman" w:hAnsi="Times New Roman" w:eastAsia="仿宋_GB2312" w:cs="Times New Roman"/>
          <w:sz w:val="32"/>
          <w:szCs w:val="32"/>
          <w:lang w:eastAsia="zh-CN"/>
        </w:rPr>
        <w:t>29.00</w:t>
      </w:r>
      <w:r>
        <w:rPr>
          <w:rFonts w:ascii="仿宋_GB2312" w:eastAsia="仿宋_GB2312"/>
          <w:sz w:val="32"/>
          <w:szCs w:val="32"/>
          <w:lang w:eastAsia="zh-CN"/>
        </w:rPr>
        <w:t>万元。预算绩效管理取得的成效：</w:t>
      </w:r>
      <w:r>
        <w:rPr>
          <w:rStyle w:val="15"/>
          <w:rFonts w:eastAsia="仿宋_GB2312"/>
          <w:b w:val="0"/>
          <w:spacing w:val="-4"/>
          <w:sz w:val="32"/>
          <w:szCs w:val="32"/>
          <w:lang w:eastAsia="zh-CN"/>
        </w:rPr>
        <w:t>一是加强预算和项目全生命周期管理，动态追踪资金使用情况，确保预算执行的规范性和透明度。二是深化预算绩效管理，通过绩效目标设定、运行监控和结果应用，强化资金使用的效益导向。三是科学设定绩效目标</w:t>
      </w:r>
      <w:r>
        <w:rPr>
          <w:rFonts w:ascii="仿宋_GB2312" w:eastAsia="仿宋_GB2312"/>
          <w:sz w:val="32"/>
          <w:szCs w:val="32"/>
          <w:lang w:eastAsia="zh-CN"/>
        </w:rPr>
        <w:t>。发现的问题及原因：</w:t>
      </w:r>
      <w:r>
        <w:rPr>
          <w:rStyle w:val="15"/>
          <w:rFonts w:ascii="Times New Roman" w:hAnsi="Times New Roman" w:eastAsia="仿宋_GB2312" w:cs="Times New Roman"/>
          <w:b w:val="0"/>
          <w:spacing w:val="-4"/>
          <w:sz w:val="32"/>
          <w:szCs w:val="32"/>
          <w:lang w:eastAsia="zh-CN"/>
        </w:rPr>
        <w:t>一是缺少带着问题去评价的意识。二是现场评价的工作量少，后续效益评价具体措施和方法较少</w:t>
      </w:r>
      <w:r>
        <w:rPr>
          <w:rFonts w:ascii="仿宋_GB2312" w:eastAsia="仿宋_GB2312"/>
          <w:sz w:val="32"/>
          <w:szCs w:val="32"/>
          <w:lang w:eastAsia="zh-CN"/>
        </w:rPr>
        <w:t>。下一步改进措施：</w:t>
      </w:r>
      <w:r>
        <w:rPr>
          <w:rStyle w:val="15"/>
          <w:rFonts w:ascii="Times New Roman" w:hAnsi="Times New Roman" w:eastAsia="仿宋_GB2312" w:cs="Times New Roman"/>
          <w:b w:val="0"/>
          <w:spacing w:val="-4"/>
          <w:sz w:val="32"/>
          <w:szCs w:val="32"/>
          <w:lang w:eastAsia="zh-CN"/>
        </w:rPr>
        <w:t>加强绩效管理重视程度，定期组织绩效管理培训。项目评价过程中进一步引入第三方评价机构，对部门自我审定时存在的问题进行指导，进一步破除自我审定的局限性，同时查漏补缺</w:t>
      </w:r>
      <w:r>
        <w:rPr>
          <w:rFonts w:ascii="仿宋_GB2312" w:eastAsia="仿宋_GB2312"/>
          <w:sz w:val="32"/>
          <w:szCs w:val="32"/>
          <w:lang w:eastAsia="zh-CN"/>
        </w:rPr>
        <w:t>。具体附项目支出绩效自评表。</w:t>
      </w:r>
    </w:p>
    <w:p>
      <w:pPr>
        <w:spacing w:after="0" w:line="580" w:lineRule="exact"/>
        <w:ind w:firstLine="640" w:firstLineChars="200"/>
        <w:jc w:val="both"/>
        <w:outlineLvl w:val="1"/>
        <w:rPr>
          <w:rFonts w:ascii="黑体" w:eastAsia="黑体"/>
          <w:sz w:val="32"/>
          <w:szCs w:val="32"/>
          <w:lang w:eastAsia="zh-CN"/>
        </w:rPr>
      </w:pPr>
      <w:r>
        <w:rPr>
          <w:rFonts w:ascii="黑体" w:eastAsia="黑体"/>
          <w:sz w:val="32"/>
          <w:szCs w:val="32"/>
          <w:lang w:eastAsia="zh-CN"/>
        </w:rPr>
        <w:t>十二、其他需说明的事项</w:t>
      </w:r>
    </w:p>
    <w:p>
      <w:pPr>
        <w:spacing w:after="0" w:line="580" w:lineRule="exact"/>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本单位无其他需说明的事项</w:t>
      </w:r>
      <w:r>
        <w:rPr>
          <w:rFonts w:ascii="仿宋_GB2312" w:eastAsia="仿宋_GB2312"/>
          <w:sz w:val="32"/>
          <w:szCs w:val="32"/>
          <w:lang w:eastAsia="zh-CN"/>
        </w:rPr>
        <w:t>。</w:t>
      </w:r>
    </w:p>
    <w:p>
      <w:pPr>
        <w:spacing w:after="0" w:line="580" w:lineRule="exact"/>
        <w:ind w:firstLine="640" w:firstLineChars="200"/>
        <w:jc w:val="both"/>
        <w:rPr>
          <w:rFonts w:ascii="仿宋_GB2312" w:eastAsia="仿宋_GB2312"/>
          <w:sz w:val="32"/>
          <w:szCs w:val="32"/>
          <w:lang w:eastAsia="zh-CN"/>
        </w:rPr>
      </w:pPr>
    </w:p>
    <w:p>
      <w:pPr>
        <w:spacing w:line="580" w:lineRule="exact"/>
        <w:ind w:firstLine="0" w:firstLineChars="200"/>
        <w:jc w:val="both"/>
        <w:rPr>
          <w:lang w:eastAsia="zh-CN"/>
        </w:rPr>
      </w:pPr>
      <w:r>
        <w:rPr>
          <w:sz w:val="0"/>
          <w:szCs w:val="0"/>
          <w:lang w:eastAsia="zh-CN"/>
        </w:rPr>
        <w:br w:type="page"/>
      </w:r>
    </w:p>
    <w:p>
      <w:pPr>
        <w:spacing w:after="0" w:line="580" w:lineRule="exact"/>
        <w:ind w:firstLine="640" w:firstLineChars="200"/>
        <w:jc w:val="center"/>
        <w:outlineLvl w:val="0"/>
        <w:rPr>
          <w:rFonts w:ascii="黑体" w:eastAsia="黑体"/>
          <w:sz w:val="32"/>
          <w:szCs w:val="32"/>
          <w:lang w:eastAsia="zh-CN"/>
        </w:rPr>
      </w:pPr>
      <w:r>
        <w:rPr>
          <w:rFonts w:ascii="黑体" w:eastAsia="黑体"/>
          <w:sz w:val="32"/>
          <w:szCs w:val="32"/>
          <w:lang w:eastAsia="zh-CN"/>
        </w:rPr>
        <w:t>第三部分专业名词解释</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pPr>
        <w:spacing w:line="580" w:lineRule="exact"/>
        <w:ind w:firstLine="0" w:firstLineChars="200"/>
        <w:jc w:val="both"/>
        <w:rPr>
          <w:lang w:eastAsia="zh-CN"/>
        </w:rPr>
      </w:pPr>
      <w:r>
        <w:rPr>
          <w:sz w:val="0"/>
          <w:szCs w:val="0"/>
          <w:lang w:eastAsia="zh-CN"/>
        </w:rPr>
        <w:br w:type="page"/>
      </w:r>
    </w:p>
    <w:p>
      <w:pPr>
        <w:spacing w:after="0" w:line="580" w:lineRule="exact"/>
        <w:ind w:firstLine="640" w:firstLineChars="200"/>
        <w:jc w:val="center"/>
        <w:outlineLvl w:val="0"/>
        <w:rPr>
          <w:rFonts w:ascii="黑体" w:eastAsia="黑体"/>
          <w:sz w:val="32"/>
          <w:szCs w:val="32"/>
          <w:lang w:eastAsia="zh-CN"/>
        </w:rPr>
      </w:pPr>
      <w:r>
        <w:rPr>
          <w:rFonts w:ascii="黑体" w:eastAsia="黑体"/>
          <w:sz w:val="32"/>
          <w:szCs w:val="32"/>
          <w:lang w:eastAsia="zh-CN"/>
        </w:rPr>
        <w:t>第四部分部门决算报表（见附表）</w:t>
      </w:r>
    </w:p>
    <w:p>
      <w:pPr>
        <w:spacing w:after="0" w:line="58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一、《收入支出决算总表》</w:t>
      </w:r>
    </w:p>
    <w:p>
      <w:pPr>
        <w:spacing w:after="0" w:line="58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二、《收入决算表》</w:t>
      </w:r>
    </w:p>
    <w:p>
      <w:pPr>
        <w:spacing w:after="0" w:line="58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三、《支出决算表》</w:t>
      </w:r>
    </w:p>
    <w:p>
      <w:pPr>
        <w:spacing w:after="0" w:line="58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pPr>
        <w:spacing w:after="0" w:line="58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pPr>
        <w:spacing w:after="0" w:line="58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pPr>
        <w:spacing w:after="0" w:line="58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pPr>
        <w:spacing w:after="0" w:line="58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pPr>
        <w:spacing w:after="0" w:line="58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footerReference r:id="rId7" w:type="first"/>
      <w:footerReference r:id="rId5" w:type="default"/>
      <w:footerReference r:id="rId6" w:type="even"/>
      <w:pgSz w:w="12240" w:h="15840"/>
      <w:pgMar w:top="2098" w:right="1531" w:bottom="1985" w:left="1531" w:header="720" w:footer="720" w:gutter="0"/>
      <w:pgNumType w:fmt="numberInDash" w:start="0"/>
      <w:cols w:space="720" w:num="1"/>
      <w:titlePg/>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0000000" w:usb3="00000000" w:csb0="0000019F" w:csb1="00000000"/>
  </w:font>
  <w:font w:name="Noto Sans Syriac Eastern">
    <w:panose1 w:val="02040503050306020203"/>
    <w:charset w:val="86"/>
    <w:family w:val="auto"/>
    <w:pitch w:val="default"/>
    <w:sig w:usb0="00000000" w:usb1="00000000" w:usb2="00000080" w:usb3="00000000" w:csb0="203E0161" w:csb1="D7FF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Noto Sans CJK JP Bold">
    <w:panose1 w:val="020B0800000000000000"/>
    <w:charset w:val="86"/>
    <w:family w:val="auto"/>
    <w:pitch w:val="default"/>
    <w:sig w:usb0="30000003" w:usb1="2BDF3C10" w:usb2="00000016" w:usb3="00000000" w:csb0="602E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54945586"/>
      <w:docPartObj>
        <w:docPartGallery w:val="AutoText"/>
      </w:docPartObj>
    </w:sdtPr>
    <w:sdtEndPr>
      <w:rPr>
        <w:rFonts w:asciiTheme="minorEastAsia" w:hAnsiTheme="minorEastAsia" w:eastAsiaTheme="minorEastAsia"/>
        <w:sz w:val="28"/>
        <w:szCs w:val="28"/>
      </w:rPr>
    </w:sdtEndPr>
    <w:sdtContent>
      <w:p>
        <w:pPr>
          <w:pStyle w:val="8"/>
          <w:jc w:val="right"/>
          <w:rPr>
            <w:rFonts w:asciiTheme="minorEastAsia" w:hAnsiTheme="minorEastAsia" w:eastAsiaTheme="minorEastAsia"/>
            <w:sz w:val="28"/>
            <w:szCs w:val="28"/>
          </w:rPr>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eastAsia="zh-CN"/>
          </w:rPr>
          <w:t>-</w:t>
        </w:r>
        <w:r>
          <w:rPr>
            <w:rFonts w:asciiTheme="minorEastAsia" w:hAnsiTheme="minorEastAsia" w:eastAsiaTheme="minorEastAsia"/>
            <w:sz w:val="28"/>
            <w:szCs w:val="28"/>
          </w:rPr>
          <w:t xml:space="preserve"> 3 -</w:t>
        </w:r>
        <w:r>
          <w:rPr>
            <w:rFonts w:asciiTheme="minorEastAsia" w:hAnsiTheme="minorEastAsia" w:eastAsiaTheme="minorEastAsia"/>
            <w:sz w:val="28"/>
            <w:szCs w:val="28"/>
          </w:rPr>
          <w:fldChar w:fldCharType="end"/>
        </w:r>
      </w:p>
    </w:sdtContent>
  </w:sdt>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33527503"/>
      <w:docPartObj>
        <w:docPartGallery w:val="AutoText"/>
      </w:docPartObj>
    </w:sdtPr>
    <w:sdtEndPr>
      <w:rPr>
        <w:rFonts w:asciiTheme="minorEastAsia" w:hAnsiTheme="minorEastAsia" w:eastAsiaTheme="minorEastAsia"/>
        <w:sz w:val="28"/>
        <w:szCs w:val="28"/>
      </w:rPr>
    </w:sdtEndPr>
    <w:sdtContent>
      <w:p>
        <w:pPr>
          <w:pStyle w:val="8"/>
          <w:rPr>
            <w:rFonts w:asciiTheme="minorEastAsia" w:hAnsiTheme="minorEastAsia" w:eastAsiaTheme="minorEastAsia"/>
            <w:sz w:val="28"/>
            <w:szCs w:val="28"/>
          </w:rPr>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eastAsia="zh-CN"/>
          </w:rPr>
          <w:t>-</w:t>
        </w:r>
        <w:r>
          <w:rPr>
            <w:rFonts w:asciiTheme="minorEastAsia" w:hAnsiTheme="minorEastAsia" w:eastAsiaTheme="minorEastAsia"/>
            <w:sz w:val="28"/>
            <w:szCs w:val="28"/>
          </w:rPr>
          <w:t xml:space="preserve"> 2 -</w:t>
        </w:r>
        <w:r>
          <w:rPr>
            <w:rFonts w:asciiTheme="minorEastAsia" w:hAnsiTheme="minorEastAsia" w:eastAsiaTheme="minorEastAsia"/>
            <w:sz w:val="28"/>
            <w:szCs w:val="28"/>
          </w:rPr>
          <w:fldChar w:fldCharType="end"/>
        </w:r>
      </w:p>
    </w:sdtContent>
  </w:sdt>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rFonts w:asciiTheme="minorEastAsia" w:hAnsiTheme="minorEastAsia" w:eastAsiaTheme="minorEastAsia"/>
        <w:sz w:val="28"/>
        <w:szCs w:val="28"/>
      </w:rPr>
    </w:pPr>
  </w:p>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suff w:val="nothing"/>
      <w:lvlText w:val="%1."/>
      <w:lvlJc w:val="left"/>
      <w:pPr>
        <w:spacing w:before="0" w:beforeLines="0" w:beforeAutospacing="0" w:line="240" w:lineRule="auto"/>
        <w:ind w:firstLine="640" w:firstLineChars="200"/>
      </w:pPr>
    </w:lvl>
    <w:lvl w:ilvl="1" w:tentative="0">
      <w:start w:val="1"/>
      <w:numFmt w:val="decimal"/>
      <w:suff w:val="nothing"/>
      <w:lvlText w:val="%1.%2."/>
      <w:lvlJc w:val="left"/>
      <w:pPr>
        <w:spacing w:before="0" w:beforeLines="0" w:beforeAutospacing="0" w:line="240" w:lineRule="auto"/>
        <w:ind w:firstLine="640" w:firstLineChars="200"/>
      </w:pPr>
    </w:lvl>
    <w:lvl w:ilvl="2" w:tentative="0">
      <w:start w:val="1"/>
      <w:numFmt w:val="decimal"/>
      <w:suff w:val="nothing"/>
      <w:lvlText w:val="%1.%2.%3."/>
      <w:lvlJc w:val="left"/>
      <w:pPr>
        <w:ind w:left="0" w:firstLine="0"/>
      </w:p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evenAndOddHeaders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2"/>
    <w:compatSetting w:name="overrideTableStyleFontSizeAndJustification" w:uri="http://schemas.microsoft.com/office/word" w:val="1"/>
  </w:compat>
  <w:rsids>
    <w:rsidRoot w:val="00C67924"/>
    <w:rsid w:val="00C17790"/>
    <w:rsid w:val="00C67924"/>
    <w:rsid w:val="00C764E9"/>
    <w:rsid w:val="00EB2BB2"/>
    <w:rsid w:val="00EE4C51"/>
    <w:rsid w:val="00F42286"/>
    <w:rsid w:val="090264D9"/>
    <w:rsid w:val="40FB016F"/>
    <w:rsid w:val="FDEF66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9"/>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20"/>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1"/>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2"/>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footer"/>
    <w:basedOn w:val="1"/>
    <w:link w:val="25"/>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8"/>
    <w:unhideWhenUsed/>
    <w:qFormat/>
    <w:uiPriority w:val="99"/>
    <w:pPr>
      <w:tabs>
        <w:tab w:val="center" w:pos="4680"/>
        <w:tab w:val="right" w:pos="9360"/>
      </w:tabs>
    </w:pPr>
  </w:style>
  <w:style w:type="paragraph" w:styleId="10">
    <w:name w:val="Subtitle"/>
    <w:basedOn w:val="1"/>
    <w:next w:val="1"/>
    <w:link w:val="23"/>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4"/>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Strong"/>
    <w:basedOn w:val="14"/>
    <w:qFormat/>
    <w:uiPriority w:val="0"/>
    <w:rPr>
      <w:b/>
      <w:bCs/>
    </w:rPr>
  </w:style>
  <w:style w:type="character" w:styleId="16">
    <w:name w:val="Emphasis"/>
    <w:basedOn w:val="14"/>
    <w:qFormat/>
    <w:uiPriority w:val="20"/>
    <w:rPr>
      <w:i/>
      <w:iCs/>
    </w:rPr>
  </w:style>
  <w:style w:type="character" w:styleId="17">
    <w:name w:val="Hyperlink"/>
    <w:basedOn w:val="14"/>
    <w:unhideWhenUsed/>
    <w:qFormat/>
    <w:uiPriority w:val="99"/>
    <w:rPr>
      <w:color w:val="0000FF" w:themeColor="hyperlink"/>
      <w:u w:val="single"/>
    </w:rPr>
  </w:style>
  <w:style w:type="character" w:customStyle="1" w:styleId="18">
    <w:name w:val="页眉 Char"/>
    <w:basedOn w:val="14"/>
    <w:link w:val="9"/>
    <w:qFormat/>
    <w:uiPriority w:val="99"/>
  </w:style>
  <w:style w:type="character" w:customStyle="1" w:styleId="19">
    <w:name w:val="标题 1 Char"/>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20">
    <w:name w:val="标题 2 Char"/>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1">
    <w:name w:val="标题 3 Char"/>
    <w:basedOn w:val="14"/>
    <w:link w:val="4"/>
    <w:qFormat/>
    <w:uiPriority w:val="9"/>
    <w:rPr>
      <w:rFonts w:asciiTheme="majorHAnsi" w:hAnsiTheme="majorHAnsi" w:eastAsiaTheme="majorEastAsia" w:cstheme="majorBidi"/>
      <w:b/>
      <w:bCs/>
      <w:color w:val="4F81BD" w:themeColor="accent1"/>
    </w:rPr>
  </w:style>
  <w:style w:type="character" w:customStyle="1" w:styleId="22">
    <w:name w:val="标题 4 Char"/>
    <w:basedOn w:val="14"/>
    <w:link w:val="5"/>
    <w:qFormat/>
    <w:uiPriority w:val="9"/>
    <w:rPr>
      <w:rFonts w:asciiTheme="majorHAnsi" w:hAnsiTheme="majorHAnsi" w:eastAsiaTheme="majorEastAsia" w:cstheme="majorBidi"/>
      <w:b/>
      <w:bCs/>
      <w:i/>
      <w:iCs/>
      <w:color w:val="4F81BD" w:themeColor="accent1"/>
    </w:rPr>
  </w:style>
  <w:style w:type="character" w:customStyle="1" w:styleId="23">
    <w:name w:val="副标题 Char"/>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4">
    <w:name w:val="标题 Char"/>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 w:type="character" w:customStyle="1" w:styleId="25">
    <w:name w:val="页脚 Char"/>
    <w:basedOn w:val="14"/>
    <w:link w:val="8"/>
    <w:qFormat/>
    <w:uiPriority w:val="99"/>
    <w:rPr>
      <w:rFonts w:asciiTheme="minorHAnsi" w:hAnsiTheme="minorHAnsi" w:eastAsiaTheme="minorHAnsi" w:cstheme="minorBidi"/>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15</Pages>
  <Words>882</Words>
  <Characters>5029</Characters>
  <Lines>41</Lines>
  <Paragraphs>11</Paragraphs>
  <TotalTime>12</TotalTime>
  <ScaleCrop>false</ScaleCrop>
  <LinksUpToDate>false</LinksUpToDate>
  <CharactersWithSpaces>5900</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2025-08-18T18:51:00Z</dcterms:created>
  <dc:creator>admin</dc:creator>
  <cp:lastModifiedBy>fgw</cp:lastModifiedBy>
  <dcterms:modified xsi:type="dcterms:W3CDTF">2025-08-26T19:01:37Z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eyJoZGlkIjoiN2E1ZDY0MDI5MTE3YjM0ZGMyMzg4N2EwMDI4ZjJiM2YiLCJ1c2VySWQiOiIyNTk4NTcxMjUifQ==</vt:lpwstr>
  </property>
  <property fmtid="{D5CDD505-2E9C-101B-9397-08002B2CF9AE}" pid="3" name="KSOProductBuildVer">
    <vt:lpwstr>2052-11.8.2.11958</vt:lpwstr>
  </property>
  <property fmtid="{D5CDD505-2E9C-101B-9397-08002B2CF9AE}" pid="4" name="ICV">
    <vt:lpwstr>F2367F405C4E43F196A6E77CCD5E6AC7_12</vt:lpwstr>
  </property>
</Properties>
</file>