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宋体" w:eastAsia="宋体"/>
          <w:sz w:val="32"/>
          <w:szCs w:val="32"/>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580" w:lineRule="exact"/>
        <w:ind w:firstLine="880" w:firstLineChars="200"/>
        <w:jc w:val="center"/>
        <w:outlineLvl w:val="0"/>
        <w:rPr>
          <w:rFonts w:ascii="Times New Roman" w:hAnsi="Times New Roman" w:eastAsia="方正小标宋简体" w:cs="Times New Roman"/>
          <w:kern w:val="2"/>
          <w:sz w:val="44"/>
          <w:szCs w:val="44"/>
          <w:lang w:eastAsia="zh-CN"/>
        </w:rPr>
      </w:pPr>
      <w:r>
        <w:rPr>
          <w:rFonts w:ascii="Times New Roman" w:hAnsi="Times New Roman" w:eastAsia="方正小标宋简体" w:cs="Times New Roman"/>
          <w:kern w:val="2"/>
          <w:sz w:val="44"/>
          <w:szCs w:val="44"/>
          <w:lang w:eastAsia="zh-CN"/>
        </w:rPr>
        <w:t>新疆维吾尔自治区价格认证中心</w:t>
      </w:r>
    </w:p>
    <w:p>
      <w:pPr>
        <w:spacing w:after="0" w:line="580" w:lineRule="exact"/>
        <w:ind w:firstLine="880" w:firstLineChars="200"/>
        <w:jc w:val="center"/>
        <w:outlineLvl w:val="0"/>
        <w:rPr>
          <w:rFonts w:ascii="Times New Roman" w:hAnsi="Times New Roman" w:eastAsia="方正小标宋简体" w:cs="Times New Roman"/>
          <w:kern w:val="2"/>
          <w:sz w:val="44"/>
          <w:szCs w:val="44"/>
          <w:lang w:eastAsia="zh-CN"/>
        </w:rPr>
      </w:pPr>
      <w:r>
        <w:rPr>
          <w:rFonts w:ascii="Times New Roman" w:hAnsi="Times New Roman" w:eastAsia="方正小标宋简体" w:cs="Times New Roman"/>
          <w:kern w:val="2"/>
          <w:sz w:val="44"/>
          <w:szCs w:val="44"/>
          <w:lang w:eastAsia="zh-CN"/>
        </w:rPr>
        <w:t>2024年度部门决算公开说明</w:t>
      </w:r>
    </w:p>
    <w:p>
      <w:pPr>
        <w:spacing w:line="580" w:lineRule="exact"/>
        <w:ind w:firstLine="0" w:firstLineChars="200"/>
        <w:jc w:val="both"/>
        <w:rPr>
          <w:lang w:eastAsia="zh-CN"/>
        </w:rPr>
      </w:pPr>
      <w:r>
        <w:rPr>
          <w:sz w:val="0"/>
          <w:szCs w:val="0"/>
          <w:lang w:eastAsia="zh-CN"/>
        </w:rPr>
        <w:br w:type="page"/>
      </w:r>
    </w:p>
    <w:p>
      <w:pPr>
        <w:spacing w:after="0" w:line="580" w:lineRule="exact"/>
        <w:ind w:firstLine="642" w:firstLineChars="200"/>
        <w:jc w:val="center"/>
        <w:rPr>
          <w:rFonts w:ascii="黑体" w:eastAsia="黑体"/>
          <w:sz w:val="32"/>
          <w:szCs w:val="32"/>
          <w:lang w:eastAsia="zh-CN"/>
        </w:rPr>
      </w:pPr>
      <w:r>
        <w:rPr>
          <w:rFonts w:ascii="黑体" w:eastAsia="黑体"/>
          <w:b/>
          <w:sz w:val="32"/>
          <w:szCs w:val="32"/>
          <w:lang w:eastAsia="zh-CN"/>
        </w:rPr>
        <w:t>目录</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第一部分单位概况</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一、主要职能</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二、机构设置及人员情况</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第二部分部门决算情况说明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一、收入支出决算总体情况说明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二、收入决算情况说明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三、支出决算情况说明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十、其他重要事项的情况说明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（二）政府采购情况</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（三）国有资产占用情况说明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十一、预算绩效的情况说明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十二、其他需说明的事项</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第三部分专业名词解释</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第四部分部门决算报表（见附表）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一、《收入支出决算总表》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二、《收入决算表》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三、《支出决算表》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九、《财政拨款“三公”经费支出决算表》</w:t>
      </w:r>
    </w:p>
    <w:p>
      <w:pPr>
        <w:spacing w:line="580" w:lineRule="exact"/>
        <w:ind w:firstLine="0" w:firstLineChars="200"/>
        <w:jc w:val="both"/>
        <w:rPr>
          <w:lang w:eastAsia="zh-CN"/>
        </w:rPr>
      </w:pPr>
      <w:r>
        <w:rPr>
          <w:sz w:val="0"/>
          <w:szCs w:val="0"/>
          <w:lang w:eastAsia="zh-CN"/>
        </w:rPr>
        <w:br w:type="page"/>
      </w:r>
    </w:p>
    <w:p>
      <w:pPr>
        <w:spacing w:after="0" w:line="580" w:lineRule="exact"/>
        <w:ind w:firstLine="640" w:firstLineChars="200"/>
        <w:jc w:val="center"/>
        <w:outlineLvl w:val="0"/>
        <w:rPr>
          <w:rFonts w:ascii="黑体" w:eastAsia="黑体"/>
          <w:sz w:val="32"/>
          <w:szCs w:val="32"/>
          <w:lang w:eastAsia="zh-CN"/>
        </w:rPr>
      </w:pPr>
      <w:r>
        <w:rPr>
          <w:rFonts w:ascii="黑体" w:eastAsia="黑体"/>
          <w:sz w:val="32"/>
          <w:szCs w:val="32"/>
          <w:lang w:eastAsia="zh-CN"/>
        </w:rPr>
        <w:t>第一部分单位概况</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一、主要职能</w:t>
      </w:r>
    </w:p>
    <w:p>
      <w:pPr>
        <w:spacing w:after="0" w:line="58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研究拟订价格认定政策和相关技术规范；承担涉纪检监察、涉案、涉税财物价格认定和价格认定结论复核</w:t>
      </w:r>
      <w:r>
        <w:rPr>
          <w:rFonts w:ascii="仿宋_GB2312" w:eastAsia="仿宋_GB2312"/>
          <w:sz w:val="32"/>
          <w:szCs w:val="32"/>
          <w:lang w:eastAsia="zh-CN"/>
        </w:rPr>
        <w:t>,</w:t>
      </w:r>
      <w:r>
        <w:rPr>
          <w:rFonts w:hint="eastAsia" w:ascii="仿宋_GB2312" w:eastAsia="仿宋_GB2312"/>
          <w:sz w:val="32"/>
          <w:szCs w:val="32"/>
          <w:lang w:eastAsia="zh-CN"/>
        </w:rPr>
        <w:t>以及价格争议纠纷调解等工作。</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二、机构设置及人员情况</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仿宋_GB2312" w:eastAsia="仿宋_GB2312"/>
          <w:sz w:val="32"/>
          <w:szCs w:val="32"/>
          <w:lang w:eastAsia="zh-CN"/>
        </w:rPr>
        <w:t>新疆维吾尔自治区价格认证中心</w:t>
      </w:r>
      <w:r>
        <w:rPr>
          <w:rFonts w:ascii="Times New Roman" w:hAnsi="Times New Roman" w:eastAsia="仿宋_GB2312" w:cs="Times New Roman"/>
          <w:sz w:val="32"/>
          <w:szCs w:val="32"/>
          <w:lang w:eastAsia="zh-CN"/>
        </w:rPr>
        <w:t>2024年度，实有人数21人，其中：在职人员16人，增加2人；离休人员0人，较上年无变化；退休人员5人，较上年无变化</w:t>
      </w:r>
      <w:r>
        <w:rPr>
          <w:rFonts w:hint="eastAsia" w:ascii="Times New Roman" w:hAnsi="Times New Roman" w:eastAsia="仿宋_GB2312" w:cs="Times New Roman"/>
          <w:sz w:val="32"/>
          <w:szCs w:val="32"/>
          <w:lang w:eastAsia="zh-CN"/>
        </w:rPr>
        <w:t>。</w:t>
      </w:r>
    </w:p>
    <w:p>
      <w:pPr>
        <w:spacing w:line="580" w:lineRule="exact"/>
        <w:ind w:firstLine="640" w:firstLineChars="200"/>
        <w:jc w:val="both"/>
        <w:rPr>
          <w:lang w:eastAsia="zh-CN"/>
        </w:rPr>
      </w:pPr>
      <w:r>
        <w:rPr>
          <w:rFonts w:hint="eastAsia" w:ascii="Times New Roman" w:hAnsi="Times New Roman" w:eastAsia="仿宋_GB2312" w:cs="Times New Roman"/>
          <w:sz w:val="32"/>
          <w:szCs w:val="32"/>
          <w:lang w:eastAsia="zh-CN"/>
        </w:rPr>
        <w:t>新疆维吾尔自治区价格认证中心无下属预算单位，下设</w:t>
      </w:r>
      <w:r>
        <w:rPr>
          <w:rFonts w:ascii="Times New Roman" w:hAnsi="Times New Roman" w:eastAsia="仿宋_GB2312" w:cs="Times New Roman"/>
          <w:sz w:val="32"/>
          <w:szCs w:val="32"/>
          <w:lang w:eastAsia="zh-CN"/>
        </w:rPr>
        <w:t>3</w:t>
      </w:r>
      <w:r>
        <w:rPr>
          <w:rFonts w:hint="eastAsia" w:ascii="Times New Roman" w:hAnsi="Times New Roman" w:eastAsia="仿宋_GB2312" w:cs="Times New Roman"/>
          <w:sz w:val="32"/>
          <w:szCs w:val="32"/>
          <w:lang w:eastAsia="zh-CN"/>
        </w:rPr>
        <w:t>个科室，分别是：综合部、鉴证1部、鉴证2部</w:t>
      </w:r>
      <w:r>
        <w:rPr>
          <w:rFonts w:hint="eastAsia" w:ascii="仿宋_GB2312" w:eastAsia="仿宋_GB2312"/>
          <w:sz w:val="32"/>
          <w:szCs w:val="32"/>
          <w:lang w:eastAsia="zh-CN"/>
        </w:rPr>
        <w:t>。</w:t>
      </w:r>
      <w:r>
        <w:rPr>
          <w:sz w:val="0"/>
          <w:szCs w:val="0"/>
          <w:lang w:eastAsia="zh-CN"/>
        </w:rPr>
        <w:br w:type="page"/>
      </w:r>
    </w:p>
    <w:p>
      <w:pPr>
        <w:spacing w:after="0" w:line="580" w:lineRule="exact"/>
        <w:ind w:firstLine="640" w:firstLineChars="200"/>
        <w:jc w:val="center"/>
        <w:outlineLvl w:val="0"/>
        <w:rPr>
          <w:rFonts w:ascii="黑体" w:eastAsia="黑体"/>
          <w:sz w:val="32"/>
          <w:szCs w:val="32"/>
          <w:lang w:eastAsia="zh-CN"/>
        </w:rPr>
      </w:pPr>
      <w:r>
        <w:rPr>
          <w:rFonts w:ascii="黑体" w:eastAsia="黑体"/>
          <w:sz w:val="32"/>
          <w:szCs w:val="32"/>
          <w:lang w:eastAsia="zh-CN"/>
        </w:rPr>
        <w:t>第二部分部门决算情况说明</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一、收入支出决算总体情况说明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2024年度收入总计192.01万元，其中：本年收入合计290.60万元，使用非财政拨款结余（含专用结余）5.00万元，年初结转和结余-103.59万元。</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2024年度支出总计192.01万元，其中：本年支出合计295.48万元，结余分配0.00万元，年末结转和结余-103.47万元。</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收入支出总体与上年相比，增加5.76万元，增长3.09%，主要原因是：</w:t>
      </w:r>
      <w:r>
        <w:rPr>
          <w:rFonts w:hint="eastAsia" w:ascii="Times New Roman" w:hAnsi="Times New Roman" w:eastAsia="仿宋_GB2312" w:cs="Times New Roman"/>
          <w:sz w:val="32"/>
          <w:szCs w:val="32"/>
          <w:lang w:eastAsia="zh-CN"/>
        </w:rPr>
        <w:t>本年度价格认定专项业务经费增加</w:t>
      </w:r>
      <w:r>
        <w:rPr>
          <w:rFonts w:ascii="Times New Roman" w:hAnsi="Times New Roman" w:eastAsia="仿宋_GB2312" w:cs="Times New Roman"/>
          <w:sz w:val="32"/>
          <w:szCs w:val="32"/>
          <w:lang w:eastAsia="zh-CN"/>
        </w:rPr>
        <w:t>。</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二、收入决算情况说明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本年收入290.60万元，其中：财政拨款收入290.29万元,占99.89%；上级补助收入0.00万元,占0.00%；事业收入0.00万元，占0.00%；经营收入0.00万元,占0.00%；附属单位上缴收入0.00万元，占0.00%；其他收入0.30万元，占0.10%。</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三、支出决算情况说明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本年支出295.48万元，其中：基本支出272.71万元，占92.29%；项目支出22.77万元，占7.71%；上缴上级支出0.00万元，占0.00%；经营支出0.00万元，占0.00%；对附属单位补助支出0.00万元，占0.00%。</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四、财政拨款收入支出决算总体情况说明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2024年度财政拨款收入总计290.29万元，其中：年初财政拨款结转和结余0.00万元，本年财政拨款收入290.29万元。财政拨款支出总计290.29万元，其中：年末财政拨款结转和结余0.00万元，本年财政拨款支出290.29万元。</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财政拨款收入支出总体与上年相比，增加5.66万元，增长1.99%，主要原因是：</w:t>
      </w:r>
      <w:r>
        <w:rPr>
          <w:rFonts w:hint="eastAsia" w:ascii="Times New Roman" w:hAnsi="Times New Roman" w:eastAsia="仿宋_GB2312" w:cs="Times New Roman"/>
          <w:sz w:val="32"/>
          <w:szCs w:val="32"/>
          <w:lang w:eastAsia="zh-CN"/>
        </w:rPr>
        <w:t>本年度价格认定专项业务经费增加</w:t>
      </w:r>
      <w:r>
        <w:rPr>
          <w:rFonts w:ascii="Times New Roman" w:hAnsi="Times New Roman" w:eastAsia="仿宋_GB2312" w:cs="Times New Roman"/>
          <w:sz w:val="32"/>
          <w:szCs w:val="32"/>
          <w:lang w:eastAsia="zh-CN"/>
        </w:rPr>
        <w:t>。与年初预算相比，年初预算数254.58万元，决算数290.29万元，预决算差异率14.03%，主要原因是：</w:t>
      </w:r>
      <w:r>
        <w:rPr>
          <w:rFonts w:hint="eastAsia" w:ascii="Times New Roman" w:hAnsi="Times New Roman" w:eastAsia="仿宋_GB2312" w:cs="Times New Roman"/>
          <w:sz w:val="32"/>
          <w:szCs w:val="32"/>
          <w:lang w:eastAsia="zh-CN"/>
        </w:rPr>
        <w:t>本年在职人员增加，人员工资调增，年中追加价格认定专项业务经费，导致预决算存在差异。</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pPr>
        <w:spacing w:after="0" w:line="580" w:lineRule="exact"/>
        <w:ind w:firstLine="642" w:firstLineChars="200"/>
        <w:jc w:val="both"/>
        <w:outlineLvl w:val="2"/>
        <w:rPr>
          <w:rFonts w:ascii="Times New Roman" w:hAnsi="Times New Roman" w:eastAsia="楷体_GB2312" w:cs="Times New Roman"/>
          <w:b/>
          <w:kern w:val="2"/>
          <w:sz w:val="32"/>
          <w:szCs w:val="32"/>
          <w:lang w:eastAsia="zh-CN"/>
        </w:rPr>
      </w:pPr>
      <w:r>
        <w:rPr>
          <w:rFonts w:ascii="Times New Roman" w:hAnsi="Times New Roman" w:eastAsia="楷体_GB2312" w:cs="Times New Roman"/>
          <w:b/>
          <w:kern w:val="2"/>
          <w:sz w:val="32"/>
          <w:szCs w:val="32"/>
          <w:lang w:eastAsia="zh-CN"/>
        </w:rPr>
        <w:t>（一）一般公共预算财政拨款支出决算总体情况</w:t>
      </w:r>
    </w:p>
    <w:p>
      <w:pPr>
        <w:spacing w:after="0" w:line="580" w:lineRule="exact"/>
        <w:ind w:firstLine="640" w:firstLineChars="200"/>
        <w:jc w:val="both"/>
        <w:rPr>
          <w:rFonts w:ascii="仿宋_GB2312" w:eastAsia="仿宋_GB2312"/>
          <w:sz w:val="32"/>
          <w:szCs w:val="32"/>
          <w:lang w:eastAsia="zh-CN"/>
        </w:rPr>
      </w:pPr>
      <w:r>
        <w:rPr>
          <w:rFonts w:ascii="Times New Roman" w:hAnsi="Times New Roman" w:eastAsia="仿宋_GB2312" w:cs="Times New Roman"/>
          <w:sz w:val="32"/>
          <w:szCs w:val="32"/>
          <w:lang w:eastAsia="zh-CN"/>
        </w:rPr>
        <w:t>2024年度一般公共预算财政拨款支出290.29万元，占本年支出合计的98.24%。与上年相比，增加5.66万元，增长1.99%，主要原因是：</w:t>
      </w:r>
      <w:r>
        <w:rPr>
          <w:rFonts w:hint="eastAsia" w:ascii="Times New Roman" w:hAnsi="Times New Roman" w:eastAsia="仿宋_GB2312" w:cs="Times New Roman"/>
          <w:sz w:val="32"/>
          <w:szCs w:val="32"/>
          <w:lang w:eastAsia="zh-CN"/>
        </w:rPr>
        <w:t>本年度价格认定专项业务经费增加</w:t>
      </w:r>
      <w:r>
        <w:rPr>
          <w:rFonts w:ascii="Times New Roman" w:hAnsi="Times New Roman" w:eastAsia="仿宋_GB2312" w:cs="Times New Roman"/>
          <w:sz w:val="32"/>
          <w:szCs w:val="32"/>
          <w:lang w:eastAsia="zh-CN"/>
        </w:rPr>
        <w:t>。与年初预算相比，年初预算数254.58万元，决算数290.29万元，预决算差异率14.03%，主要原因是：</w:t>
      </w:r>
      <w:r>
        <w:rPr>
          <w:rFonts w:hint="eastAsia" w:ascii="Times New Roman" w:hAnsi="Times New Roman" w:eastAsia="仿宋_GB2312" w:cs="Times New Roman"/>
          <w:sz w:val="32"/>
          <w:szCs w:val="32"/>
          <w:lang w:eastAsia="zh-CN"/>
        </w:rPr>
        <w:t>本年在职人员增加，人员工资调增，年中追加价格认定专项业务经费，导致预决算存在差异</w:t>
      </w:r>
      <w:r>
        <w:rPr>
          <w:rFonts w:ascii="仿宋_GB2312" w:eastAsia="仿宋_GB2312"/>
          <w:sz w:val="32"/>
          <w:szCs w:val="32"/>
          <w:lang w:eastAsia="zh-CN"/>
        </w:rPr>
        <w:t>。</w:t>
      </w:r>
    </w:p>
    <w:p>
      <w:pPr>
        <w:spacing w:after="0" w:line="580" w:lineRule="exact"/>
        <w:ind w:firstLine="642" w:firstLineChars="200"/>
        <w:jc w:val="both"/>
        <w:outlineLvl w:val="2"/>
        <w:rPr>
          <w:rFonts w:ascii="Times New Roman" w:hAnsi="Times New Roman" w:eastAsia="楷体_GB2312" w:cs="Times New Roman"/>
          <w:b/>
          <w:kern w:val="2"/>
          <w:sz w:val="32"/>
          <w:szCs w:val="32"/>
          <w:lang w:eastAsia="zh-CN"/>
        </w:rPr>
      </w:pPr>
      <w:r>
        <w:rPr>
          <w:rFonts w:ascii="Times New Roman" w:hAnsi="Times New Roman" w:eastAsia="楷体_GB2312" w:cs="Times New Roman"/>
          <w:b/>
          <w:kern w:val="2"/>
          <w:sz w:val="32"/>
          <w:szCs w:val="32"/>
          <w:lang w:eastAsia="zh-CN"/>
        </w:rPr>
        <w:t>（二）一般公共预算财政拨款支出决算结构情况</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1.一般公共服务支出（类）215.86万元，占74.36%。</w:t>
      </w:r>
    </w:p>
    <w:p>
      <w:pPr>
        <w:spacing w:after="0" w:line="58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lang w:eastAsia="zh-CN"/>
        </w:rPr>
        <w:t>社会保障和就业支出（类）34.84万元，占12.00%。</w:t>
      </w:r>
    </w:p>
    <w:p>
      <w:pPr>
        <w:spacing w:after="0" w:line="58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lang w:eastAsia="zh-CN"/>
        </w:rPr>
        <w:t>卫生健康支出（类）21.67万元，占7.46%。</w:t>
      </w:r>
    </w:p>
    <w:p>
      <w:pPr>
        <w:spacing w:after="0" w:line="58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4.</w:t>
      </w:r>
      <w:bookmarkStart w:id="0" w:name="_GoBack"/>
      <w:bookmarkEnd w:id="0"/>
      <w:r>
        <w:rPr>
          <w:rFonts w:ascii="Times New Roman" w:hAnsi="Times New Roman" w:eastAsia="仿宋_GB2312" w:cs="Times New Roman"/>
          <w:sz w:val="32"/>
          <w:szCs w:val="32"/>
          <w:lang w:eastAsia="zh-CN"/>
        </w:rPr>
        <w:t>住房保障支出（类）17.93万元，占6.18%。</w:t>
      </w:r>
    </w:p>
    <w:p>
      <w:pPr>
        <w:spacing w:after="0" w:line="580" w:lineRule="exact"/>
        <w:ind w:firstLine="642" w:firstLineChars="200"/>
        <w:jc w:val="both"/>
        <w:outlineLvl w:val="2"/>
        <w:rPr>
          <w:rFonts w:ascii="Times New Roman" w:hAnsi="Times New Roman" w:eastAsia="楷体_GB2312" w:cs="Times New Roman"/>
          <w:b/>
          <w:kern w:val="2"/>
          <w:sz w:val="32"/>
          <w:szCs w:val="32"/>
          <w:lang w:eastAsia="zh-CN"/>
        </w:rPr>
      </w:pPr>
      <w:r>
        <w:rPr>
          <w:rFonts w:ascii="Times New Roman" w:hAnsi="Times New Roman" w:eastAsia="楷体_GB2312" w:cs="Times New Roman"/>
          <w:b/>
          <w:kern w:val="2"/>
          <w:sz w:val="32"/>
          <w:szCs w:val="32"/>
          <w:lang w:eastAsia="zh-CN"/>
        </w:rPr>
        <w:t>（三）一般公共预算财政拨款支出决算具体情况</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一般公共服务支出（类）发展与改革事务（款）物价管理（项）：支出决算数为17.77万元，比上年决算增加10.77万元，增长153.86%，主要原因是：</w:t>
      </w:r>
      <w:r>
        <w:rPr>
          <w:rFonts w:hint="eastAsia" w:ascii="Times New Roman" w:hAnsi="Times New Roman" w:eastAsia="仿宋_GB2312" w:cs="Times New Roman"/>
          <w:sz w:val="32"/>
          <w:szCs w:val="32"/>
          <w:lang w:eastAsia="zh-CN"/>
        </w:rPr>
        <w:t>本年度价格认定专项业务经费增加。</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一般公共服务支出（类）发展与改革事务（款）事业运行（项）：支出决算数为198.09万元，比上年决算增加1.03万元，增长0.52%，主要原因是：</w:t>
      </w:r>
      <w:r>
        <w:rPr>
          <w:rFonts w:hint="eastAsia" w:ascii="Times New Roman" w:hAnsi="Times New Roman" w:eastAsia="仿宋_GB2312" w:cs="Times New Roman"/>
          <w:sz w:val="32"/>
          <w:szCs w:val="32"/>
          <w:lang w:eastAsia="zh-CN"/>
        </w:rPr>
        <w:t>本年新增在职人员，人员经费增加，导致经费较上年有所增加。</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社会保障和就业支出（类）行政事业单位养老支出（款）事业单位离退休（项）：支出决算数为10.93万元，比上年决算增加3.25万元，增长42.32%，主要原因是：</w:t>
      </w:r>
      <w:r>
        <w:rPr>
          <w:rFonts w:hint="eastAsia" w:ascii="Times New Roman" w:hAnsi="Times New Roman" w:eastAsia="仿宋_GB2312" w:cs="Times New Roman"/>
          <w:sz w:val="32"/>
          <w:szCs w:val="32"/>
          <w:lang w:eastAsia="zh-CN"/>
        </w:rPr>
        <w:t>本年增加退休人员基础绩效奖，退休费支出增加。</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社会保障和就业支出（类）行政事业单位养老支出（款）机关事业单位基本养老保险缴费支出（项）：支出决算数为23.91万元，比上年决算增加0.13万元，增长0.55%，主要原因是：</w:t>
      </w:r>
      <w:r>
        <w:rPr>
          <w:rFonts w:hint="eastAsia" w:ascii="Times New Roman" w:hAnsi="Times New Roman" w:eastAsia="仿宋_GB2312" w:cs="Times New Roman"/>
          <w:sz w:val="32"/>
          <w:szCs w:val="32"/>
          <w:lang w:eastAsia="zh-CN"/>
        </w:rPr>
        <w:t>本年在职人员增加，养老保险缴费较上年增加。</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社会保障和就业支出（类）行政事业单位养老支出（款）机关事业单位职业年金缴费支出（项）：支出决算数为0.00万元，比上年决算减少9.74万元，下降100.00%，主要原因是：</w:t>
      </w:r>
      <w:r>
        <w:rPr>
          <w:rFonts w:hint="eastAsia" w:ascii="Times New Roman" w:hAnsi="Times New Roman" w:eastAsia="仿宋_GB2312" w:cs="Times New Roman"/>
          <w:sz w:val="32"/>
          <w:szCs w:val="32"/>
          <w:lang w:eastAsia="zh-CN"/>
        </w:rPr>
        <w:t>本年无新增退休人员，无职业年金缴费支出。</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卫生健康支出（类）行政事业单位医疗（款）事业单位医疗（项）：支出决算数为11.21万元，比上年决算增加0.06万元，增长0.54%，主要原因是：</w:t>
      </w:r>
      <w:r>
        <w:rPr>
          <w:rFonts w:hint="eastAsia" w:ascii="Times New Roman" w:hAnsi="Times New Roman" w:eastAsia="仿宋_GB2312" w:cs="Times New Roman"/>
          <w:sz w:val="32"/>
          <w:szCs w:val="32"/>
          <w:lang w:eastAsia="zh-CN"/>
        </w:rPr>
        <w:t>本年在职人员增加，</w:t>
      </w:r>
      <w:r>
        <w:rPr>
          <w:rFonts w:ascii="Times New Roman" w:hAnsi="Times New Roman" w:eastAsia="仿宋_GB2312" w:cs="Times New Roman"/>
          <w:sz w:val="32"/>
          <w:szCs w:val="32"/>
          <w:lang w:eastAsia="zh-CN"/>
        </w:rPr>
        <w:t>事业</w:t>
      </w:r>
      <w:r>
        <w:rPr>
          <w:rFonts w:hint="eastAsia" w:ascii="Times New Roman" w:hAnsi="Times New Roman" w:eastAsia="仿宋_GB2312" w:cs="Times New Roman"/>
          <w:sz w:val="32"/>
          <w:szCs w:val="32"/>
          <w:lang w:eastAsia="zh-CN"/>
        </w:rPr>
        <w:t>单位医疗支出增加。</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卫生健康支出（类）行政事业单位医疗（款）公务员医疗补助（项）：支出决算数为10.46万元，比上年决算增加0.06万元，增长0.58%，主要原因是：</w:t>
      </w:r>
      <w:r>
        <w:rPr>
          <w:rFonts w:hint="eastAsia" w:ascii="Times New Roman" w:hAnsi="Times New Roman" w:eastAsia="仿宋_GB2312" w:cs="Times New Roman"/>
          <w:sz w:val="32"/>
          <w:szCs w:val="32"/>
          <w:lang w:eastAsia="zh-CN"/>
        </w:rPr>
        <w:t>本年在职人员增加，</w:t>
      </w:r>
      <w:r>
        <w:rPr>
          <w:rFonts w:ascii="Times New Roman" w:hAnsi="Times New Roman" w:eastAsia="仿宋_GB2312" w:cs="Times New Roman"/>
          <w:sz w:val="32"/>
          <w:szCs w:val="32"/>
          <w:lang w:eastAsia="zh-CN"/>
        </w:rPr>
        <w:t>公务员医疗补助</w:t>
      </w:r>
      <w:r>
        <w:rPr>
          <w:rFonts w:hint="eastAsia" w:ascii="Times New Roman" w:hAnsi="Times New Roman" w:eastAsia="仿宋_GB2312" w:cs="Times New Roman"/>
          <w:sz w:val="32"/>
          <w:szCs w:val="32"/>
          <w:lang w:eastAsia="zh-CN"/>
        </w:rPr>
        <w:t>支出增加。</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住房保障支出（类）住房改革支出（款）住房公积金（项）：支出决算数为17.93万元，比上年决算增加0.10万元，增长0.56%，主要原因是：</w:t>
      </w:r>
      <w:r>
        <w:rPr>
          <w:rFonts w:hint="eastAsia" w:ascii="Times New Roman" w:hAnsi="Times New Roman" w:eastAsia="仿宋_GB2312" w:cs="Times New Roman"/>
          <w:sz w:val="32"/>
          <w:szCs w:val="32"/>
          <w:lang w:eastAsia="zh-CN"/>
        </w:rPr>
        <w:t>本年在职人员增加，</w:t>
      </w:r>
      <w:r>
        <w:rPr>
          <w:rFonts w:ascii="Times New Roman" w:hAnsi="Times New Roman" w:eastAsia="仿宋_GB2312" w:cs="Times New Roman"/>
          <w:sz w:val="32"/>
          <w:szCs w:val="32"/>
          <w:lang w:eastAsia="zh-CN"/>
        </w:rPr>
        <w:t>住房公积金</w:t>
      </w:r>
      <w:r>
        <w:rPr>
          <w:rFonts w:hint="eastAsia" w:ascii="Times New Roman" w:hAnsi="Times New Roman" w:eastAsia="仿宋_GB2312" w:cs="Times New Roman"/>
          <w:sz w:val="32"/>
          <w:szCs w:val="32"/>
          <w:lang w:eastAsia="zh-CN"/>
        </w:rPr>
        <w:t>支出增加。</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一般公共预算财政拨款基本支出272.52万元，其中：人员经费255.50万元，包括：基本工资、津贴补贴、奖金、绩效工资、机关事业单位基本养老保险缴费、职工基本医疗保险缴费、公务员医疗补助缴费、其他社会保障缴费、住房公积金、其他工资福利支出、退休费、奖励金和其他对个人和家庭的补助。</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公用经费17.02万元，包括：办公费、水费、电费、邮电费、差旅费、工会经费、福利费和公务用车运行维护费。</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九、财政拨款“三公”经费支出决算情况说明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2024年度财政拨款“三公”经费支出1.00万元，与上年相比无变化，主要原因是：</w:t>
      </w:r>
      <w:r>
        <w:rPr>
          <w:rFonts w:hint="eastAsia" w:ascii="Times New Roman" w:hAnsi="Times New Roman" w:eastAsia="仿宋_GB2312" w:cs="Times New Roman"/>
          <w:sz w:val="32"/>
          <w:szCs w:val="32"/>
          <w:lang w:eastAsia="zh-CN"/>
        </w:rPr>
        <w:t>本年财政拨款“三公”经费与上年一致无变化</w:t>
      </w:r>
      <w:r>
        <w:rPr>
          <w:rFonts w:ascii="Times New Roman" w:hAnsi="Times New Roman" w:eastAsia="仿宋_GB2312" w:cs="Times New Roman"/>
          <w:sz w:val="32"/>
          <w:szCs w:val="32"/>
          <w:lang w:eastAsia="zh-CN"/>
        </w:rPr>
        <w:t>。其中：因公出国（境）费支出0.00万元,占0.00%，与上年相比无变化，主要原因是：</w:t>
      </w:r>
      <w:r>
        <w:rPr>
          <w:rFonts w:hint="eastAsia" w:ascii="Times New Roman" w:hAnsi="Times New Roman" w:eastAsia="仿宋_GB2312" w:cs="Times New Roman"/>
          <w:sz w:val="32"/>
          <w:szCs w:val="32"/>
          <w:lang w:eastAsia="zh-CN"/>
        </w:rPr>
        <w:t>2023年与2024年均未安排因公出国（境）费支出</w:t>
      </w:r>
      <w:r>
        <w:rPr>
          <w:rFonts w:ascii="Times New Roman" w:hAnsi="Times New Roman" w:eastAsia="仿宋_GB2312" w:cs="Times New Roman"/>
          <w:sz w:val="32"/>
          <w:szCs w:val="32"/>
          <w:lang w:eastAsia="zh-CN"/>
        </w:rPr>
        <w:t>；公务用车购置及运行维护费支出1.00万元，占100.00%，与上年相比无变化，主要原因是：</w:t>
      </w:r>
      <w:r>
        <w:rPr>
          <w:rFonts w:hint="eastAsia" w:ascii="Times New Roman" w:hAnsi="Times New Roman" w:eastAsia="仿宋_GB2312" w:cs="Times New Roman"/>
          <w:sz w:val="32"/>
          <w:szCs w:val="32"/>
          <w:lang w:eastAsia="zh-CN"/>
        </w:rPr>
        <w:t>本年公务用车购置及运行维护费与上年一致无变化</w:t>
      </w:r>
      <w:r>
        <w:rPr>
          <w:rFonts w:ascii="Times New Roman" w:hAnsi="Times New Roman" w:eastAsia="仿宋_GB2312" w:cs="Times New Roman"/>
          <w:sz w:val="32"/>
          <w:szCs w:val="32"/>
          <w:lang w:eastAsia="zh-CN"/>
        </w:rPr>
        <w:t>；公务接待费支出0.00万元，占0.00%，与上年相比无变化，主要原因是：</w:t>
      </w:r>
      <w:r>
        <w:rPr>
          <w:rFonts w:hint="eastAsia" w:ascii="Times New Roman" w:hAnsi="Times New Roman" w:eastAsia="仿宋_GB2312" w:cs="Times New Roman"/>
          <w:sz w:val="32"/>
          <w:szCs w:val="32"/>
          <w:lang w:eastAsia="zh-CN"/>
        </w:rPr>
        <w:t>2023年与2024年均未安排公务接待费支出</w:t>
      </w:r>
      <w:r>
        <w:rPr>
          <w:rFonts w:ascii="Times New Roman" w:hAnsi="Times New Roman" w:eastAsia="仿宋_GB2312" w:cs="Times New Roman"/>
          <w:sz w:val="32"/>
          <w:szCs w:val="32"/>
          <w:lang w:eastAsia="zh-CN"/>
        </w:rPr>
        <w:t>。</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具体情况如下：</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因公出国（境）费支出0.00万元，开支内容包括</w:t>
      </w:r>
      <w:r>
        <w:rPr>
          <w:rFonts w:hint="eastAsia" w:ascii="Times New Roman" w:hAnsi="Times New Roman" w:eastAsia="仿宋_GB2312" w:cs="Times New Roman"/>
          <w:sz w:val="32"/>
          <w:szCs w:val="32"/>
          <w:lang w:eastAsia="zh-CN"/>
        </w:rPr>
        <w:t>本单位无因公出国（境）费</w:t>
      </w:r>
      <w:r>
        <w:rPr>
          <w:rFonts w:ascii="Times New Roman" w:hAnsi="Times New Roman" w:eastAsia="仿宋_GB2312" w:cs="Times New Roman"/>
          <w:sz w:val="32"/>
          <w:szCs w:val="32"/>
          <w:lang w:eastAsia="zh-CN"/>
        </w:rPr>
        <w:t>。单位全年安排的因公出国（境）团组0个，因公出国（境）0人次。</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公务用车购置及运行维护费1.00万元，其中：公务用车购置费0.00万元，公务用车运行维护费1.00万元。公务用车运行维护费开支内容包括</w:t>
      </w:r>
      <w:r>
        <w:rPr>
          <w:rFonts w:hint="eastAsia" w:ascii="Times New Roman" w:hAnsi="Times New Roman" w:eastAsia="仿宋_GB2312" w:cs="Times New Roman"/>
          <w:sz w:val="32"/>
          <w:szCs w:val="32"/>
          <w:lang w:eastAsia="zh-CN"/>
        </w:rPr>
        <w:t>车辆加油费、维修费、保险费、审车费</w:t>
      </w:r>
      <w:r>
        <w:rPr>
          <w:rFonts w:ascii="Times New Roman" w:hAnsi="Times New Roman" w:eastAsia="仿宋_GB2312" w:cs="Times New Roman"/>
          <w:sz w:val="32"/>
          <w:szCs w:val="32"/>
          <w:lang w:eastAsia="zh-CN"/>
        </w:rPr>
        <w:t>。公务用车购置数0辆，公务用车保有量1辆。国有资产占用情况中固定资产车辆1辆，与公务用车保有量差异原因是：</w:t>
      </w:r>
      <w:r>
        <w:rPr>
          <w:rFonts w:hint="eastAsia" w:ascii="Times New Roman" w:hAnsi="Times New Roman" w:eastAsia="仿宋_GB2312" w:cs="Times New Roman"/>
          <w:sz w:val="32"/>
          <w:szCs w:val="32"/>
          <w:lang w:eastAsia="zh-CN"/>
        </w:rPr>
        <w:t>本单位固定资产车辆与公务用车保有量一致无差异。</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公务接待费0.00万元，开支内容包括</w:t>
      </w:r>
      <w:r>
        <w:rPr>
          <w:rFonts w:hint="eastAsia" w:ascii="Times New Roman" w:hAnsi="Times New Roman" w:eastAsia="仿宋_GB2312" w:cs="Times New Roman"/>
          <w:sz w:val="32"/>
          <w:szCs w:val="32"/>
          <w:lang w:eastAsia="zh-CN"/>
        </w:rPr>
        <w:t>本单位无公务接待费</w:t>
      </w:r>
      <w:r>
        <w:rPr>
          <w:rFonts w:ascii="Times New Roman" w:hAnsi="Times New Roman" w:eastAsia="仿宋_GB2312" w:cs="Times New Roman"/>
          <w:sz w:val="32"/>
          <w:szCs w:val="32"/>
          <w:lang w:eastAsia="zh-CN"/>
        </w:rPr>
        <w:t>。单位全年安排的国内公务接待0批次，0人次。</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与全年预算相比，财政拨款“三公”经费支出全年预算数1.00万元，决算数1.00万元，预决算差异率0.00%，主要原因是：</w:t>
      </w:r>
      <w:r>
        <w:rPr>
          <w:rFonts w:hint="eastAsia" w:ascii="Times New Roman" w:hAnsi="Times New Roman" w:eastAsia="仿宋_GB2312" w:cs="Times New Roman"/>
          <w:sz w:val="32"/>
          <w:szCs w:val="32"/>
          <w:lang w:eastAsia="zh-CN"/>
        </w:rPr>
        <w:t>严格按照预算执行，预决算无差异</w:t>
      </w:r>
      <w:r>
        <w:rPr>
          <w:rFonts w:ascii="Times New Roman" w:hAnsi="Times New Roman" w:eastAsia="仿宋_GB2312" w:cs="Times New Roman"/>
          <w:sz w:val="32"/>
          <w:szCs w:val="32"/>
          <w:lang w:eastAsia="zh-CN"/>
        </w:rPr>
        <w:t>。其中：因公出国（境）费全年预算数0.00万元，决算数0.00万元，预决算差异率0.00%，主要原因是：</w:t>
      </w:r>
      <w:r>
        <w:rPr>
          <w:rFonts w:hint="eastAsia" w:ascii="Times New Roman" w:hAnsi="Times New Roman" w:eastAsia="仿宋_GB2312" w:cs="Times New Roman"/>
          <w:sz w:val="32"/>
          <w:szCs w:val="32"/>
          <w:lang w:eastAsia="zh-CN"/>
        </w:rPr>
        <w:t>本单位无因公出国（境）费</w:t>
      </w:r>
      <w:r>
        <w:rPr>
          <w:rFonts w:ascii="Times New Roman" w:hAnsi="Times New Roman" w:eastAsia="仿宋_GB2312" w:cs="Times New Roman"/>
          <w:sz w:val="32"/>
          <w:szCs w:val="32"/>
          <w:lang w:eastAsia="zh-CN"/>
        </w:rPr>
        <w:t>；公务用车购置费全年预算数0.00万元，决算数0.00万元，预决算差异率0.00%，主要原因是：</w:t>
      </w:r>
      <w:r>
        <w:rPr>
          <w:rFonts w:hint="eastAsia" w:ascii="Times New Roman" w:hAnsi="Times New Roman" w:eastAsia="仿宋_GB2312" w:cs="Times New Roman"/>
          <w:sz w:val="32"/>
          <w:szCs w:val="32"/>
          <w:lang w:eastAsia="zh-CN"/>
        </w:rPr>
        <w:t>本单位无公务用车购置费</w:t>
      </w:r>
      <w:r>
        <w:rPr>
          <w:rFonts w:ascii="Times New Roman" w:hAnsi="Times New Roman" w:eastAsia="仿宋_GB2312" w:cs="Times New Roman"/>
          <w:sz w:val="32"/>
          <w:szCs w:val="32"/>
          <w:lang w:eastAsia="zh-CN"/>
        </w:rPr>
        <w:t>；公务用车运行维护费全年预算数1.00万元，决算数1.00万元，预决算差异率0.00%，主要原因是：</w:t>
      </w:r>
      <w:r>
        <w:rPr>
          <w:rFonts w:hint="eastAsia" w:ascii="Times New Roman" w:hAnsi="Times New Roman" w:eastAsia="仿宋_GB2312" w:cs="Times New Roman"/>
          <w:sz w:val="32"/>
          <w:szCs w:val="32"/>
          <w:lang w:eastAsia="zh-CN"/>
        </w:rPr>
        <w:t>严格按照预算执行，预决算无差异</w:t>
      </w:r>
      <w:r>
        <w:rPr>
          <w:rFonts w:ascii="Times New Roman" w:hAnsi="Times New Roman" w:eastAsia="仿宋_GB2312" w:cs="Times New Roman"/>
          <w:sz w:val="32"/>
          <w:szCs w:val="32"/>
          <w:lang w:eastAsia="zh-CN"/>
        </w:rPr>
        <w:t>；公务接待费全年预算数0.00万元，决算数0.00万元，预决算差异率0.00%，主要原因是：</w:t>
      </w:r>
      <w:r>
        <w:rPr>
          <w:rFonts w:hint="eastAsia" w:ascii="Times New Roman" w:hAnsi="Times New Roman" w:eastAsia="仿宋_GB2312" w:cs="Times New Roman"/>
          <w:sz w:val="32"/>
          <w:szCs w:val="32"/>
          <w:lang w:eastAsia="zh-CN"/>
        </w:rPr>
        <w:t>本单位无公务接待费</w:t>
      </w:r>
      <w:r>
        <w:rPr>
          <w:rFonts w:ascii="Times New Roman" w:hAnsi="Times New Roman" w:eastAsia="仿宋_GB2312" w:cs="Times New Roman"/>
          <w:sz w:val="32"/>
          <w:szCs w:val="32"/>
          <w:lang w:eastAsia="zh-CN"/>
        </w:rPr>
        <w:t>。</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十、其他重要事项的情况说明</w:t>
      </w:r>
    </w:p>
    <w:p>
      <w:pPr>
        <w:spacing w:after="0" w:line="580" w:lineRule="exact"/>
        <w:ind w:firstLine="642" w:firstLineChars="200"/>
        <w:jc w:val="both"/>
        <w:outlineLvl w:val="2"/>
        <w:rPr>
          <w:rFonts w:ascii="Times New Roman" w:hAnsi="Times New Roman" w:eastAsia="楷体_GB2312" w:cs="Times New Roman"/>
          <w:b/>
          <w:kern w:val="2"/>
          <w:sz w:val="32"/>
          <w:szCs w:val="32"/>
          <w:lang w:eastAsia="zh-CN"/>
        </w:rPr>
      </w:pPr>
      <w:r>
        <w:rPr>
          <w:rFonts w:ascii="Times New Roman" w:hAnsi="Times New Roman" w:eastAsia="楷体_GB2312" w:cs="Times New Roman"/>
          <w:b/>
          <w:kern w:val="2"/>
          <w:sz w:val="32"/>
          <w:szCs w:val="32"/>
          <w:lang w:eastAsia="zh-CN"/>
        </w:rPr>
        <w:t>（一）机关运行经费及公用经费支出情况</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2024年度公用经费支出17.02万元，比上年增加0.73万元，增长4.48%，主要原因是：</w:t>
      </w:r>
      <w:r>
        <w:rPr>
          <w:rFonts w:hint="eastAsia" w:ascii="Times New Roman" w:hAnsi="Times New Roman" w:eastAsia="仿宋_GB2312" w:cs="Times New Roman"/>
          <w:sz w:val="32"/>
          <w:szCs w:val="32"/>
          <w:lang w:eastAsia="zh-CN"/>
        </w:rPr>
        <w:t>本年差旅费增加，导致</w:t>
      </w:r>
      <w:r>
        <w:rPr>
          <w:rFonts w:ascii="Times New Roman" w:hAnsi="Times New Roman" w:eastAsia="仿宋_GB2312" w:cs="Times New Roman"/>
          <w:sz w:val="32"/>
          <w:szCs w:val="32"/>
          <w:lang w:eastAsia="zh-CN"/>
        </w:rPr>
        <w:t>公用经费支出</w:t>
      </w:r>
      <w:r>
        <w:rPr>
          <w:rFonts w:hint="eastAsia" w:ascii="Times New Roman" w:hAnsi="Times New Roman" w:eastAsia="仿宋_GB2312" w:cs="Times New Roman"/>
          <w:sz w:val="32"/>
          <w:szCs w:val="32"/>
          <w:lang w:eastAsia="zh-CN"/>
        </w:rPr>
        <w:t>增加</w:t>
      </w:r>
      <w:r>
        <w:rPr>
          <w:rFonts w:ascii="Times New Roman" w:hAnsi="Times New Roman" w:eastAsia="仿宋_GB2312" w:cs="Times New Roman"/>
          <w:sz w:val="32"/>
          <w:szCs w:val="32"/>
          <w:lang w:eastAsia="zh-CN"/>
        </w:rPr>
        <w:t>。</w:t>
      </w:r>
    </w:p>
    <w:p>
      <w:pPr>
        <w:spacing w:after="0" w:line="580" w:lineRule="exact"/>
        <w:ind w:firstLine="642" w:firstLineChars="200"/>
        <w:jc w:val="both"/>
        <w:outlineLvl w:val="2"/>
        <w:rPr>
          <w:rFonts w:ascii="Times New Roman" w:hAnsi="Times New Roman" w:eastAsia="楷体_GB2312" w:cs="Times New Roman"/>
          <w:b/>
          <w:kern w:val="2"/>
          <w:sz w:val="32"/>
          <w:szCs w:val="32"/>
          <w:lang w:eastAsia="zh-CN"/>
        </w:rPr>
      </w:pPr>
      <w:r>
        <w:rPr>
          <w:rFonts w:ascii="Times New Roman" w:hAnsi="Times New Roman" w:eastAsia="楷体_GB2312" w:cs="Times New Roman"/>
          <w:b/>
          <w:kern w:val="2"/>
          <w:sz w:val="32"/>
          <w:szCs w:val="32"/>
          <w:lang w:eastAsia="zh-CN"/>
        </w:rPr>
        <w:t>（二）政府采购情况</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2024年度政府采购支出总额0.29万元，其中：政府采购货物支出0.00万元、政府采购工程支出0.00万元、政府采购服务支出0.29万元。</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授予中小企业合同金额0.29万元，占政府采购支出总额的100.00%，其中：授予小微企业合同金额0.29万元，占政府采购支出总额的100.00%。</w:t>
      </w:r>
    </w:p>
    <w:p>
      <w:pPr>
        <w:spacing w:after="0" w:line="580" w:lineRule="exact"/>
        <w:ind w:firstLine="642" w:firstLineChars="200"/>
        <w:jc w:val="both"/>
        <w:outlineLvl w:val="2"/>
        <w:rPr>
          <w:rFonts w:ascii="Times New Roman" w:hAnsi="Times New Roman" w:eastAsia="楷体_GB2312" w:cs="Times New Roman"/>
          <w:b/>
          <w:kern w:val="2"/>
          <w:sz w:val="32"/>
          <w:szCs w:val="32"/>
          <w:lang w:eastAsia="zh-CN"/>
        </w:rPr>
      </w:pPr>
      <w:r>
        <w:rPr>
          <w:rFonts w:ascii="Times New Roman" w:hAnsi="Times New Roman" w:eastAsia="楷体_GB2312" w:cs="Times New Roman"/>
          <w:b/>
          <w:kern w:val="2"/>
          <w:sz w:val="32"/>
          <w:szCs w:val="32"/>
          <w:lang w:eastAsia="zh-CN"/>
        </w:rPr>
        <w:t>（三）国有资产占用情况说明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截至2024年12月31日，房屋151.10平方米，价值30.22万元。车辆1辆，价值15.99万元，其中：副部（省）级及以上领导用车0辆、主要负责人用车0辆、机要通信用车0辆、应急保障用车0辆、执法执勤用车0辆、特种专业技术用车0辆、离退休干部服务用车0辆、其他用车1辆，其他用车主要是：</w:t>
      </w:r>
      <w:r>
        <w:rPr>
          <w:rFonts w:hint="eastAsia" w:ascii="Times New Roman" w:hAnsi="Times New Roman" w:eastAsia="仿宋_GB2312" w:cs="Times New Roman"/>
          <w:sz w:val="32"/>
          <w:szCs w:val="32"/>
          <w:lang w:eastAsia="zh-CN"/>
        </w:rPr>
        <w:t>一般公务用车</w:t>
      </w:r>
      <w:r>
        <w:rPr>
          <w:rFonts w:ascii="Times New Roman" w:hAnsi="Times New Roman" w:eastAsia="仿宋_GB2312" w:cs="Times New Roman"/>
          <w:sz w:val="32"/>
          <w:szCs w:val="32"/>
          <w:lang w:eastAsia="zh-CN"/>
        </w:rPr>
        <w:t>;单价100万元（含）以上设备（不含车辆）0台（套）。</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十一、预算绩效的情况说明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w:t>
      </w:r>
      <w:r>
        <w:rPr>
          <w:rFonts w:ascii="Times New Roman" w:hAnsi="Times New Roman" w:eastAsia="仿宋_GB2312" w:cs="Times New Roman"/>
          <w:sz w:val="32"/>
          <w:szCs w:val="32"/>
          <w:lang w:eastAsia="zh-CN"/>
        </w:rPr>
        <w:t>2024</w:t>
      </w:r>
      <w:r>
        <w:rPr>
          <w:rFonts w:ascii="仿宋_GB2312" w:eastAsia="仿宋_GB2312"/>
          <w:sz w:val="32"/>
          <w:szCs w:val="32"/>
          <w:lang w:eastAsia="zh-CN"/>
        </w:rPr>
        <w:t>年度预算绩效评价项目</w:t>
      </w:r>
      <w:r>
        <w:rPr>
          <w:rFonts w:hint="eastAsia" w:ascii="Times New Roman" w:hAnsi="Times New Roman" w:eastAsia="仿宋_GB2312" w:cs="Times New Roman"/>
          <w:sz w:val="32"/>
          <w:szCs w:val="32"/>
          <w:lang w:eastAsia="zh-CN"/>
        </w:rPr>
        <w:t>3</w:t>
      </w:r>
      <w:r>
        <w:rPr>
          <w:rFonts w:ascii="仿宋_GB2312" w:eastAsia="仿宋_GB2312"/>
          <w:sz w:val="32"/>
          <w:szCs w:val="32"/>
          <w:lang w:eastAsia="zh-CN"/>
        </w:rPr>
        <w:t>个，全年预算数</w:t>
      </w:r>
      <w:r>
        <w:rPr>
          <w:rFonts w:hint="eastAsia" w:ascii="Times New Roman" w:hAnsi="Times New Roman" w:eastAsia="仿宋_GB2312" w:cs="Times New Roman"/>
          <w:sz w:val="32"/>
          <w:szCs w:val="32"/>
          <w:lang w:eastAsia="zh-CN"/>
        </w:rPr>
        <w:t>22.77</w:t>
      </w:r>
      <w:r>
        <w:rPr>
          <w:rFonts w:ascii="仿宋_GB2312" w:eastAsia="仿宋_GB2312"/>
          <w:sz w:val="32"/>
          <w:szCs w:val="32"/>
          <w:lang w:eastAsia="zh-CN"/>
        </w:rPr>
        <w:t>万元，全年执行数</w:t>
      </w:r>
      <w:r>
        <w:rPr>
          <w:rFonts w:hint="eastAsia" w:ascii="Times New Roman" w:hAnsi="Times New Roman" w:eastAsia="仿宋_GB2312" w:cs="Times New Roman"/>
          <w:sz w:val="32"/>
          <w:szCs w:val="32"/>
          <w:lang w:eastAsia="zh-CN"/>
        </w:rPr>
        <w:t>22.77</w:t>
      </w:r>
      <w:r>
        <w:rPr>
          <w:rFonts w:ascii="仿宋_GB2312" w:eastAsia="仿宋_GB2312"/>
          <w:sz w:val="32"/>
          <w:szCs w:val="32"/>
          <w:lang w:eastAsia="zh-CN"/>
        </w:rPr>
        <w:t>万元。预算绩效管理取得的成效：</w:t>
      </w:r>
      <w:r>
        <w:rPr>
          <w:rStyle w:val="15"/>
          <w:rFonts w:eastAsia="仿宋_GB2312"/>
          <w:b w:val="0"/>
          <w:spacing w:val="-4"/>
          <w:sz w:val="32"/>
          <w:szCs w:val="32"/>
          <w:lang w:eastAsia="zh-CN"/>
        </w:rPr>
        <w:t>一是加强预算和项目全生命周期管理，动态追踪资金使用情况，确保预算执行的规范性和透明度。二是深化预算绩效管理，通过绩效目标设定、运行监控和结果应用，强化资金使用的效益导向。三是科学设定绩效目标</w:t>
      </w:r>
      <w:r>
        <w:rPr>
          <w:rFonts w:ascii="仿宋_GB2312" w:eastAsia="仿宋_GB2312"/>
          <w:sz w:val="32"/>
          <w:szCs w:val="32"/>
          <w:lang w:eastAsia="zh-CN"/>
        </w:rPr>
        <w:t>。发现的问题及原因：</w:t>
      </w:r>
      <w:r>
        <w:rPr>
          <w:rStyle w:val="15"/>
          <w:rFonts w:ascii="Times New Roman" w:hAnsi="Times New Roman" w:eastAsia="仿宋_GB2312" w:cs="Times New Roman"/>
          <w:b w:val="0"/>
          <w:spacing w:val="-4"/>
          <w:sz w:val="32"/>
          <w:szCs w:val="32"/>
          <w:lang w:eastAsia="zh-CN"/>
        </w:rPr>
        <w:t>一是缺少带着问题去评价的意识。二是现场评价的工作量少，后续效益评价具体措施和方法较少</w:t>
      </w:r>
      <w:r>
        <w:rPr>
          <w:rFonts w:ascii="仿宋_GB2312" w:eastAsia="仿宋_GB2312"/>
          <w:sz w:val="32"/>
          <w:szCs w:val="32"/>
          <w:lang w:eastAsia="zh-CN"/>
        </w:rPr>
        <w:t>。下一步改进措施：</w:t>
      </w:r>
      <w:r>
        <w:rPr>
          <w:rStyle w:val="15"/>
          <w:rFonts w:ascii="Times New Roman" w:hAnsi="Times New Roman" w:eastAsia="仿宋_GB2312" w:cs="Times New Roman"/>
          <w:b w:val="0"/>
          <w:spacing w:val="-4"/>
          <w:sz w:val="32"/>
          <w:szCs w:val="32"/>
          <w:lang w:eastAsia="zh-CN"/>
        </w:rPr>
        <w:t>加强绩效管理重视程度，定期组织绩效管理培训。项目评价过程中进一步引入第三方评价机构，对部门自我审定时存在的问题进行指导，进一步破除自我审定的局限性，同时查漏补缺</w:t>
      </w:r>
      <w:r>
        <w:rPr>
          <w:rFonts w:ascii="仿宋_GB2312" w:eastAsia="仿宋_GB2312"/>
          <w:sz w:val="32"/>
          <w:szCs w:val="32"/>
          <w:lang w:eastAsia="zh-CN"/>
        </w:rPr>
        <w:t>。具体附项目支出绩效自评表。</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十二、其他需说明的事项</w:t>
      </w:r>
    </w:p>
    <w:p>
      <w:pPr>
        <w:spacing w:after="0" w:line="58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本单位无其他需说明的事项</w:t>
      </w:r>
      <w:r>
        <w:rPr>
          <w:rFonts w:ascii="仿宋_GB2312" w:eastAsia="仿宋_GB2312"/>
          <w:sz w:val="32"/>
          <w:szCs w:val="32"/>
          <w:lang w:eastAsia="zh-CN"/>
        </w:rPr>
        <w:t>。</w:t>
      </w:r>
    </w:p>
    <w:p>
      <w:pPr>
        <w:spacing w:after="0" w:line="580" w:lineRule="exact"/>
        <w:ind w:firstLine="640" w:firstLineChars="200"/>
        <w:jc w:val="both"/>
        <w:rPr>
          <w:rFonts w:ascii="仿宋_GB2312" w:eastAsia="仿宋_GB2312"/>
          <w:sz w:val="32"/>
          <w:szCs w:val="32"/>
          <w:lang w:eastAsia="zh-CN"/>
        </w:rPr>
      </w:pPr>
    </w:p>
    <w:p>
      <w:pPr>
        <w:spacing w:line="580" w:lineRule="exact"/>
        <w:ind w:firstLine="0" w:firstLineChars="200"/>
        <w:jc w:val="both"/>
        <w:rPr>
          <w:lang w:eastAsia="zh-CN"/>
        </w:rPr>
      </w:pPr>
      <w:r>
        <w:rPr>
          <w:sz w:val="0"/>
          <w:szCs w:val="0"/>
          <w:lang w:eastAsia="zh-CN"/>
        </w:rPr>
        <w:br w:type="page"/>
      </w:r>
    </w:p>
    <w:p>
      <w:pPr>
        <w:spacing w:after="0" w:line="580" w:lineRule="exact"/>
        <w:ind w:firstLine="640" w:firstLineChars="200"/>
        <w:jc w:val="center"/>
        <w:outlineLvl w:val="0"/>
        <w:rPr>
          <w:rFonts w:ascii="黑体" w:eastAsia="黑体"/>
          <w:sz w:val="32"/>
          <w:szCs w:val="32"/>
          <w:lang w:eastAsia="zh-CN"/>
        </w:rPr>
      </w:pPr>
      <w:r>
        <w:rPr>
          <w:rFonts w:ascii="黑体" w:eastAsia="黑体"/>
          <w:sz w:val="32"/>
          <w:szCs w:val="32"/>
          <w:lang w:eastAsia="zh-CN"/>
        </w:rPr>
        <w:t>第三部分专业名词解释</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pPr>
        <w:spacing w:line="580" w:lineRule="exact"/>
        <w:ind w:firstLine="0" w:firstLineChars="200"/>
        <w:jc w:val="both"/>
        <w:rPr>
          <w:lang w:eastAsia="zh-CN"/>
        </w:rPr>
      </w:pPr>
      <w:r>
        <w:rPr>
          <w:sz w:val="0"/>
          <w:szCs w:val="0"/>
          <w:lang w:eastAsia="zh-CN"/>
        </w:rPr>
        <w:br w:type="page"/>
      </w:r>
    </w:p>
    <w:p>
      <w:pPr>
        <w:spacing w:after="0" w:line="580" w:lineRule="exact"/>
        <w:ind w:firstLine="640" w:firstLineChars="200"/>
        <w:jc w:val="center"/>
        <w:outlineLvl w:val="0"/>
        <w:rPr>
          <w:rFonts w:ascii="黑体" w:eastAsia="黑体"/>
          <w:sz w:val="32"/>
          <w:szCs w:val="32"/>
          <w:lang w:eastAsia="zh-CN"/>
        </w:rPr>
      </w:pPr>
      <w:r>
        <w:rPr>
          <w:rFonts w:ascii="黑体" w:eastAsia="黑体"/>
          <w:sz w:val="32"/>
          <w:szCs w:val="32"/>
          <w:lang w:eastAsia="zh-CN"/>
        </w:rPr>
        <w:t>第四部分部门决算报表（见附表）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一、《收入支出决算总表》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二、《收入决算表》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三、《支出决算表》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footerReference r:id="rId5" w:type="default"/>
      <w:footerReference r:id="rId6" w:type="even"/>
      <w:pgSz w:w="12240" w:h="15840"/>
      <w:pgMar w:top="2098" w:right="1531" w:bottom="1985" w:left="1531" w:header="720" w:footer="720" w:gutter="0"/>
      <w:pgNumType w:fmt="numberInDash" w:start="0"/>
      <w:cols w:space="720" w:num="1"/>
      <w:titlePg/>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0963041"/>
      <w:docPartObj>
        <w:docPartGallery w:val="AutoText"/>
      </w:docPartObj>
    </w:sdtPr>
    <w:sdtEndPr>
      <w:rPr>
        <w:rFonts w:asciiTheme="minorEastAsia" w:hAnsiTheme="minorEastAsia" w:eastAsiaTheme="minorEastAsia"/>
        <w:sz w:val="28"/>
        <w:szCs w:val="28"/>
      </w:rPr>
    </w:sdtEndPr>
    <w:sdtContent>
      <w:p>
        <w:pPr>
          <w:pStyle w:val="8"/>
          <w:jc w:val="right"/>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eastAsia="zh-CN"/>
          </w:rPr>
          <w:t>-</w:t>
        </w:r>
        <w:r>
          <w:rPr>
            <w:rFonts w:asciiTheme="minorEastAsia" w:hAnsiTheme="minorEastAsia" w:eastAsiaTheme="minorEastAsia"/>
            <w:sz w:val="28"/>
            <w:szCs w:val="28"/>
          </w:rPr>
          <w:t xml:space="preserve"> 3 -</w:t>
        </w:r>
        <w:r>
          <w:rPr>
            <w:rFonts w:asciiTheme="minorEastAsia" w:hAnsiTheme="minorEastAsia" w:eastAsiaTheme="minorEastAsia"/>
            <w:sz w:val="28"/>
            <w:szCs w:val="28"/>
          </w:rPr>
          <w:fldChar w:fldCharType="end"/>
        </w:r>
      </w:p>
    </w:sdtContent>
  </w:sdt>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EndPr>
      <w:rPr>
        <w:rFonts w:asciiTheme="minorEastAsia" w:hAnsiTheme="minorEastAsia" w:eastAsiaTheme="minorEastAsia"/>
        <w:sz w:val="28"/>
        <w:szCs w:val="28"/>
      </w:rPr>
    </w:sdtEndPr>
    <w:sdtContent>
      <w:p>
        <w:pPr>
          <w:pStyle w:val="8"/>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eastAsia="zh-CN"/>
          </w:rPr>
          <w:t>-</w:t>
        </w:r>
        <w:r>
          <w:rPr>
            <w:rFonts w:asciiTheme="minorEastAsia" w:hAnsiTheme="minorEastAsia" w:eastAsiaTheme="minorEastAsia"/>
            <w:sz w:val="28"/>
            <w:szCs w:val="28"/>
          </w:rPr>
          <w:t xml:space="preserve"> 2 -</w:t>
        </w:r>
        <w:r>
          <w:rPr>
            <w:rFonts w:asciiTheme="minorEastAsia" w:hAnsiTheme="minorEastAsia" w:eastAsiaTheme="minorEastAsia"/>
            <w:sz w:val="28"/>
            <w:szCs w:val="28"/>
          </w:rPr>
          <w:fldChar w:fldCharType="end"/>
        </w:r>
      </w:p>
    </w:sdtContent>
  </w:sdt>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evenAndOddHeaders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D6741D"/>
    <w:rsid w:val="004C1C47"/>
    <w:rsid w:val="00717663"/>
    <w:rsid w:val="00820AE9"/>
    <w:rsid w:val="008C105A"/>
    <w:rsid w:val="008E0BD0"/>
    <w:rsid w:val="00926E0F"/>
    <w:rsid w:val="00A47D65"/>
    <w:rsid w:val="00AE340B"/>
    <w:rsid w:val="00D10468"/>
    <w:rsid w:val="00D6741D"/>
    <w:rsid w:val="45BC75DF"/>
    <w:rsid w:val="52442F76"/>
    <w:rsid w:val="7F664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5"/>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8"/>
    <w:unhideWhenUsed/>
    <w:qFormat/>
    <w:uiPriority w:val="99"/>
    <w:pPr>
      <w:tabs>
        <w:tab w:val="center" w:pos="4680"/>
        <w:tab w:val="right" w:pos="9360"/>
      </w:tabs>
    </w:pPr>
  </w:style>
  <w:style w:type="paragraph" w:styleId="10">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Strong"/>
    <w:basedOn w:val="14"/>
    <w:qFormat/>
    <w:uiPriority w:val="0"/>
    <w:rPr>
      <w:b/>
      <w:bCs/>
    </w:rPr>
  </w:style>
  <w:style w:type="character" w:styleId="16">
    <w:name w:val="Emphasis"/>
    <w:basedOn w:val="14"/>
    <w:qFormat/>
    <w:uiPriority w:val="20"/>
    <w:rPr>
      <w:i/>
      <w:iCs/>
    </w:rPr>
  </w:style>
  <w:style w:type="character" w:styleId="17">
    <w:name w:val="Hyperlink"/>
    <w:basedOn w:val="14"/>
    <w:unhideWhenUsed/>
    <w:qFormat/>
    <w:uiPriority w:val="99"/>
    <w:rPr>
      <w:color w:val="0000FF" w:themeColor="hyperlink"/>
      <w:u w:val="single"/>
    </w:rPr>
  </w:style>
  <w:style w:type="character" w:customStyle="1" w:styleId="18">
    <w:name w:val="页眉 Char"/>
    <w:basedOn w:val="14"/>
    <w:link w:val="9"/>
    <w:qFormat/>
    <w:uiPriority w:val="99"/>
  </w:style>
  <w:style w:type="character" w:customStyle="1" w:styleId="19">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0">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1">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2">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3">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4">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5">
    <w:name w:val="页脚 Char"/>
    <w:basedOn w:val="14"/>
    <w:link w:val="8"/>
    <w:qFormat/>
    <w:uiPriority w:val="99"/>
    <w:rPr>
      <w:rFonts w:asciiTheme="minorHAnsi" w:hAnsiTheme="minorHAnsi" w:eastAsiaTheme="minorHAnsi" w:cstheme="minorBidi"/>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15</Pages>
  <Words>873</Words>
  <Characters>4982</Characters>
  <Lines>41</Lines>
  <Paragraphs>11</Paragraphs>
  <TotalTime>1</TotalTime>
  <ScaleCrop>false</ScaleCrop>
  <LinksUpToDate>false</LinksUpToDate>
  <CharactersWithSpaces>5844</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2025-08-18T18:11:00Z</dcterms:created>
  <dc:creator>admin</dc:creator>
  <cp:lastModifiedBy>fgw</cp:lastModifiedBy>
  <dcterms:modified xsi:type="dcterms:W3CDTF">2025-08-26T19:00:46Z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eyJoZGlkIjoiN2E1ZDY0MDI5MTE3YjM0ZGMyMzg4N2EwMDI4ZjJiM2YiLCJ1c2VySWQiOiIyNTk4NTcxMjUifQ==</vt:lpwstr>
  </property>
  <property fmtid="{D5CDD505-2E9C-101B-9397-08002B2CF9AE}" pid="3" name="KSOProductBuildVer">
    <vt:lpwstr>2052-11.8.2.11958</vt:lpwstr>
  </property>
  <property fmtid="{D5CDD505-2E9C-101B-9397-08002B2CF9AE}" pid="4" name="ICV">
    <vt:lpwstr>7F7AA322B2984695BFA727CB330F253C_12</vt:lpwstr>
  </property>
</Properties>
</file>