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240" w:lineRule="auto"/>
        <w:rPr>
          <w:rFonts w:ascii="宋体" w:eastAsia="宋体"/>
          <w:sz w:val="32"/>
          <w:szCs w:val="32"/>
        </w:rPr>
      </w:pPr>
    </w:p>
    <w:p>
      <w:pPr>
        <w:spacing w:after="0" w:line="240" w:lineRule="auto"/>
        <w:rPr>
          <w:rFonts w:ascii="宋体" w:eastAsia="宋体"/>
          <w:sz w:val="44"/>
          <w:szCs w:val="44"/>
        </w:rPr>
      </w:pPr>
    </w:p>
    <w:p>
      <w:pPr>
        <w:spacing w:after="0" w:line="240" w:lineRule="auto"/>
        <w:rPr>
          <w:rFonts w:ascii="宋体" w:eastAsia="宋体"/>
          <w:sz w:val="44"/>
          <w:szCs w:val="44"/>
        </w:rPr>
      </w:pPr>
    </w:p>
    <w:p>
      <w:pPr>
        <w:spacing w:after="0" w:line="580" w:lineRule="exact"/>
        <w:ind w:firstLine="880" w:firstLineChars="200"/>
        <w:jc w:val="both"/>
        <w:rPr>
          <w:rFonts w:ascii="宋体" w:eastAsia="宋体"/>
          <w:sz w:val="44"/>
          <w:szCs w:val="44"/>
        </w:rPr>
      </w:pPr>
    </w:p>
    <w:p>
      <w:pPr>
        <w:spacing w:after="0" w:line="580" w:lineRule="exact"/>
        <w:ind w:firstLine="880" w:firstLineChars="200"/>
        <w:jc w:val="center"/>
        <w:outlineLvl w:val="0"/>
        <w:rPr>
          <w:rFonts w:ascii="Times New Roman" w:hAnsi="Times New Roman" w:eastAsia="方正小标宋简体" w:cs="Times New Roman"/>
          <w:kern w:val="2"/>
          <w:sz w:val="44"/>
          <w:szCs w:val="44"/>
          <w:lang w:eastAsia="zh-CN"/>
        </w:rPr>
      </w:pPr>
      <w:r>
        <w:rPr>
          <w:rFonts w:ascii="Times New Roman" w:hAnsi="Times New Roman" w:eastAsia="方正小标宋简体" w:cs="Times New Roman"/>
          <w:kern w:val="2"/>
          <w:sz w:val="44"/>
          <w:szCs w:val="44"/>
          <w:lang w:eastAsia="zh-CN"/>
        </w:rPr>
        <w:t>新疆维吾尔自治区公共信用信息中心</w:t>
      </w:r>
    </w:p>
    <w:p>
      <w:pPr>
        <w:spacing w:after="0" w:line="580" w:lineRule="exact"/>
        <w:ind w:firstLine="880" w:firstLineChars="200"/>
        <w:jc w:val="center"/>
        <w:outlineLvl w:val="0"/>
        <w:rPr>
          <w:rFonts w:ascii="Times New Roman" w:hAnsi="Times New Roman" w:eastAsia="方正小标宋简体" w:cs="Times New Roman"/>
          <w:kern w:val="2"/>
          <w:sz w:val="44"/>
          <w:szCs w:val="44"/>
          <w:lang w:eastAsia="zh-CN"/>
        </w:rPr>
      </w:pPr>
      <w:r>
        <w:rPr>
          <w:rFonts w:ascii="Times New Roman" w:hAnsi="Times New Roman" w:eastAsia="方正小标宋简体" w:cs="Times New Roman"/>
          <w:kern w:val="2"/>
          <w:sz w:val="44"/>
          <w:szCs w:val="44"/>
          <w:lang w:eastAsia="zh-CN"/>
        </w:rPr>
        <w:t>2024年度部门决算公开说明</w:t>
      </w:r>
    </w:p>
    <w:p>
      <w:pPr>
        <w:spacing w:after="0" w:line="580" w:lineRule="exact"/>
        <w:ind w:firstLine="0" w:firstLineChars="200"/>
        <w:jc w:val="both"/>
        <w:rPr>
          <w:lang w:eastAsia="zh-CN"/>
        </w:rPr>
      </w:pPr>
      <w:r>
        <w:rPr>
          <w:sz w:val="0"/>
          <w:szCs w:val="0"/>
          <w:lang w:eastAsia="zh-CN"/>
        </w:rPr>
        <w:br w:type="page"/>
      </w:r>
    </w:p>
    <w:p>
      <w:pPr>
        <w:spacing w:after="0" w:line="580" w:lineRule="exact"/>
        <w:ind w:firstLine="642" w:firstLineChars="200"/>
        <w:jc w:val="center"/>
        <w:rPr>
          <w:rFonts w:ascii="黑体" w:eastAsia="黑体"/>
          <w:sz w:val="32"/>
          <w:szCs w:val="32"/>
          <w:lang w:eastAsia="zh-CN"/>
        </w:rPr>
      </w:pPr>
      <w:r>
        <w:rPr>
          <w:rFonts w:ascii="黑体" w:eastAsia="黑体"/>
          <w:b/>
          <w:sz w:val="32"/>
          <w:szCs w:val="32"/>
          <w:lang w:eastAsia="zh-CN"/>
        </w:rPr>
        <w:t>目录</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第一部分单位概况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二、机构设置及人员情况</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第二部分部门决算情况说明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十、其他重要事项的情况说明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（二）政府采购情况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（三）国有资产占用情况说明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十二、其他需说明的事项</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第四部分部门决算报表（见附表）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九、《财政拨款“三公”经费支出决算表》</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第一部分单位概况</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一、主要职能</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新疆维吾尔自治区公共信用信息中心主要承担全区信用信息交换平台建设运行维护、公共信用信息归集共享等工作。</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二、机构设置及人员情况</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新疆维吾尔自治区公共信用信息中心</w:t>
      </w:r>
      <w:r>
        <w:rPr>
          <w:rFonts w:ascii="Times New Roman" w:hAnsi="Times New Roman" w:eastAsia="仿宋_GB2312" w:cs="Times New Roman"/>
          <w:sz w:val="32"/>
          <w:szCs w:val="32"/>
          <w:lang w:eastAsia="zh-CN"/>
        </w:rPr>
        <w:t>2024</w:t>
      </w:r>
      <w:r>
        <w:rPr>
          <w:rFonts w:ascii="仿宋_GB2312" w:eastAsia="仿宋_GB2312"/>
          <w:sz w:val="32"/>
          <w:szCs w:val="32"/>
          <w:lang w:eastAsia="zh-CN"/>
        </w:rPr>
        <w:t>年度，实有人数</w:t>
      </w:r>
      <w:r>
        <w:rPr>
          <w:rFonts w:ascii="Times New Roman" w:hAnsi="Times New Roman" w:eastAsia="仿宋_GB2312" w:cs="Times New Roman"/>
          <w:sz w:val="32"/>
          <w:szCs w:val="32"/>
          <w:lang w:eastAsia="zh-CN"/>
        </w:rPr>
        <w:t>14</w:t>
      </w:r>
      <w:r>
        <w:rPr>
          <w:rFonts w:ascii="仿宋_GB2312" w:eastAsia="仿宋_GB2312"/>
          <w:sz w:val="32"/>
          <w:szCs w:val="32"/>
          <w:lang w:eastAsia="zh-CN"/>
        </w:rPr>
        <w:t>人，其中：在职人员</w:t>
      </w:r>
      <w:r>
        <w:rPr>
          <w:rFonts w:ascii="Times New Roman" w:hAnsi="Times New Roman" w:eastAsia="仿宋_GB2312" w:cs="Times New Roman"/>
          <w:sz w:val="32"/>
          <w:szCs w:val="32"/>
          <w:lang w:eastAsia="zh-CN"/>
        </w:rPr>
        <w:t>13</w:t>
      </w:r>
      <w:r>
        <w:rPr>
          <w:rFonts w:ascii="仿宋_GB2312" w:eastAsia="仿宋_GB2312"/>
          <w:sz w:val="32"/>
          <w:szCs w:val="32"/>
          <w:lang w:eastAsia="zh-CN"/>
        </w:rPr>
        <w:t>人，增加</w:t>
      </w:r>
      <w:r>
        <w:rPr>
          <w:rFonts w:ascii="Times New Roman" w:hAnsi="Times New Roman" w:eastAsia="仿宋_GB2312" w:cs="Times New Roman"/>
          <w:sz w:val="32"/>
          <w:szCs w:val="32"/>
          <w:lang w:eastAsia="zh-CN"/>
        </w:rPr>
        <w:t>1</w:t>
      </w:r>
      <w:r>
        <w:rPr>
          <w:rFonts w:ascii="仿宋_GB2312" w:eastAsia="仿宋_GB2312"/>
          <w:sz w:val="32"/>
          <w:szCs w:val="32"/>
          <w:lang w:eastAsia="zh-CN"/>
        </w:rPr>
        <w:t>人；离休人员</w:t>
      </w:r>
      <w:r>
        <w:rPr>
          <w:rFonts w:ascii="Times New Roman" w:hAnsi="Times New Roman" w:eastAsia="仿宋_GB2312" w:cs="Times New Roman"/>
          <w:sz w:val="32"/>
          <w:szCs w:val="32"/>
          <w:lang w:eastAsia="zh-CN"/>
        </w:rPr>
        <w:t>0</w:t>
      </w:r>
      <w:r>
        <w:rPr>
          <w:rFonts w:ascii="仿宋_GB2312" w:eastAsia="仿宋_GB2312"/>
          <w:sz w:val="32"/>
          <w:szCs w:val="32"/>
          <w:lang w:eastAsia="zh-CN"/>
        </w:rPr>
        <w:t>人，较上年无变化；退休人员1人，较上年无变化；</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新</w:t>
      </w:r>
      <w:r>
        <w:rPr>
          <w:rFonts w:hint="eastAsia" w:ascii="仿宋_GB2312" w:eastAsia="仿宋_GB2312"/>
          <w:sz w:val="32"/>
          <w:szCs w:val="32"/>
          <w:lang w:eastAsia="zh-CN"/>
        </w:rPr>
        <w:t>疆维吾尔自治区公共信用信息中心无下属预算单位，下设</w:t>
      </w:r>
      <w:r>
        <w:rPr>
          <w:rFonts w:hint="eastAsia" w:ascii="Times New Roman" w:hAnsi="Times New Roman" w:eastAsia="仿宋_GB2312" w:cs="Times New Roman"/>
          <w:sz w:val="32"/>
          <w:szCs w:val="32"/>
          <w:lang w:eastAsia="zh-CN"/>
        </w:rPr>
        <w:t>0个</w:t>
      </w:r>
      <w:r>
        <w:rPr>
          <w:rFonts w:hint="eastAsia" w:ascii="仿宋_GB2312" w:eastAsia="仿宋_GB2312"/>
          <w:sz w:val="32"/>
          <w:szCs w:val="32"/>
          <w:lang w:eastAsia="zh-CN"/>
        </w:rPr>
        <w:t>处室，分别是：本单位无下设处室</w:t>
      </w:r>
      <w:r>
        <w:rPr>
          <w:rFonts w:ascii="仿宋_GB2312" w:eastAsia="仿宋_GB2312"/>
          <w:sz w:val="32"/>
          <w:szCs w:val="32"/>
          <w:lang w:eastAsia="zh-CN"/>
        </w:rPr>
        <w:t>。</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第二部分部门决算情况说明</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一、收入支出决算总体情况说明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w:t>
      </w:r>
      <w:r>
        <w:rPr>
          <w:rFonts w:ascii="仿宋_GB2312" w:eastAsia="仿宋_GB2312"/>
          <w:sz w:val="32"/>
          <w:szCs w:val="32"/>
          <w:lang w:eastAsia="zh-CN"/>
        </w:rPr>
        <w:t>年度收入总计</w:t>
      </w:r>
      <w:r>
        <w:rPr>
          <w:rFonts w:ascii="Times New Roman" w:hAnsi="Times New Roman" w:eastAsia="仿宋_GB2312" w:cs="Times New Roman"/>
          <w:sz w:val="32"/>
          <w:szCs w:val="32"/>
          <w:lang w:eastAsia="zh-CN"/>
        </w:rPr>
        <w:t>605.64万元，其中：本年收入合计604.27万元，使用非财政拨款结余（含专用结余）0.00万元，年初结转和结余1.37万元。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2024年度支出总计605.64万元，其中：本年支出合计601.06万元，结余分配0.00万元</w:t>
      </w:r>
      <w:r>
        <w:rPr>
          <w:rFonts w:ascii="仿宋_GB2312" w:eastAsia="仿宋_GB2312"/>
          <w:sz w:val="32"/>
          <w:szCs w:val="32"/>
          <w:lang w:eastAsia="zh-CN"/>
        </w:rPr>
        <w:t>，</w:t>
      </w:r>
      <w:r>
        <w:rPr>
          <w:rFonts w:ascii="Times New Roman" w:hAnsi="Times New Roman" w:eastAsia="仿宋_GB2312" w:cs="Times New Roman"/>
          <w:sz w:val="32"/>
          <w:szCs w:val="32"/>
          <w:lang w:eastAsia="zh-CN"/>
        </w:rPr>
        <w:t>年末结转和结余4.58万元。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收入支出总体与上年相比，减少11.20万元，下降1.82%，主要原因是：</w:t>
      </w:r>
      <w:r>
        <w:rPr>
          <w:rFonts w:hint="eastAsia" w:ascii="Times New Roman" w:hAnsi="Times New Roman" w:eastAsia="仿宋_GB2312" w:cs="Times New Roman"/>
          <w:sz w:val="32"/>
          <w:szCs w:val="32"/>
          <w:lang w:eastAsia="zh-CN"/>
        </w:rPr>
        <w:t>本年信息网络及软件购置更新费用较上年减少</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二、收入决算情况说明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本年收入604.27万元，其中：财政拨款收入604.26万元,占100.00%；上级补助收入0.00万元,占0.00%；事业收入0.00万元，占0.00%；经营收入0.00万元,占0.00%；附属单位上缴收入0.00万元，占0.00%；其他收入0.01万元，占0.00%。</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三、支出决算情况说明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本年支出601.06万元，其中：基本支出223.09万元，占37.12%；项目支出377.97万元，占62.88%；上缴上级支出0.00万元，占0.00%；经营支出0.00万元，占0.00%；对附属单位补助支出0.00万元，占0.00%。</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四、财政拨款收入支出决算总体情况说明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2024年度财政拨款收入总计605.63万元，其中：年初财政拨款结转和结余1.36万元，本年财政拨款收入604.26万元。财政拨款支出总计605.63万元，其中：年末财政拨款结转和结余4.57万元，本年财政拨款支出601.06万元。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财政拨款收入支出总体与上年相比，减少11.21万元，下降1.82%，主要原因是：</w:t>
      </w:r>
      <w:r>
        <w:rPr>
          <w:rFonts w:hint="eastAsia" w:ascii="Times New Roman" w:hAnsi="Times New Roman" w:eastAsia="仿宋_GB2312" w:cs="Times New Roman"/>
          <w:sz w:val="32"/>
          <w:szCs w:val="32"/>
          <w:lang w:eastAsia="zh-CN"/>
        </w:rPr>
        <w:t>本年信息网络及软件购置更新费用较上年减少</w:t>
      </w:r>
      <w:r>
        <w:rPr>
          <w:rFonts w:ascii="Times New Roman" w:hAnsi="Times New Roman" w:eastAsia="仿宋_GB2312" w:cs="Times New Roman"/>
          <w:sz w:val="32"/>
          <w:szCs w:val="32"/>
          <w:lang w:eastAsia="zh-CN"/>
        </w:rPr>
        <w:t>。与年初预算相比，年初预算数206.61万元，决算数605.63万元，预决算差异率193.13%，主要原因是：</w:t>
      </w:r>
      <w:r>
        <w:rPr>
          <w:rFonts w:hint="eastAsia" w:ascii="Times New Roman" w:hAnsi="Times New Roman" w:eastAsia="仿宋_GB2312" w:cs="Times New Roman"/>
          <w:sz w:val="32"/>
          <w:szCs w:val="32"/>
          <w:lang w:eastAsia="zh-CN"/>
        </w:rPr>
        <w:t>年中追加新疆“信易贷”平台改造升级项目，导致预决算差异</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（一）一般公共预算财政拨款支出决算总体情况</w:t>
      </w:r>
    </w:p>
    <w:p>
      <w:pPr>
        <w:spacing w:after="0" w:line="580" w:lineRule="exact"/>
        <w:ind w:firstLine="640" w:firstLineChars="200"/>
        <w:jc w:val="both"/>
        <w:rPr>
          <w:rFonts w:ascii="仿宋_GB2312" w:eastAsia="仿宋_GB2312"/>
          <w:sz w:val="32"/>
          <w:szCs w:val="32"/>
          <w:lang w:eastAsia="zh-CN"/>
        </w:rPr>
      </w:pPr>
      <w:r>
        <w:rPr>
          <w:rFonts w:ascii="Times New Roman" w:hAnsi="Times New Roman" w:eastAsia="仿宋_GB2312" w:cs="Times New Roman"/>
          <w:sz w:val="32"/>
          <w:szCs w:val="32"/>
          <w:lang w:eastAsia="zh-CN"/>
        </w:rPr>
        <w:t>2024年度一般公共预算财政拨款支出601.06万元，占本年支出合计的100.00%。与上年相比，减少14.41万元，下降2.34%，主要原因是：</w:t>
      </w:r>
      <w:r>
        <w:rPr>
          <w:rFonts w:hint="eastAsia" w:ascii="Times New Roman" w:hAnsi="Times New Roman" w:eastAsia="仿宋_GB2312" w:cs="Times New Roman"/>
          <w:sz w:val="32"/>
          <w:szCs w:val="32"/>
          <w:lang w:eastAsia="zh-CN"/>
        </w:rPr>
        <w:t>本年信息网络及软件购置更新费用较上年减少</w:t>
      </w:r>
      <w:r>
        <w:rPr>
          <w:rFonts w:ascii="Times New Roman" w:hAnsi="Times New Roman" w:eastAsia="仿宋_GB2312" w:cs="Times New Roman"/>
          <w:sz w:val="32"/>
          <w:szCs w:val="32"/>
          <w:lang w:eastAsia="zh-CN"/>
        </w:rPr>
        <w:t>。与年初预算相比，年初预算数206.61万元，决算数601.06万元，预决算差异率190.92%，主要原因是：</w:t>
      </w:r>
      <w:r>
        <w:rPr>
          <w:rFonts w:hint="eastAsia" w:ascii="Times New Roman" w:hAnsi="Times New Roman" w:eastAsia="仿宋_GB2312" w:cs="Times New Roman"/>
          <w:sz w:val="32"/>
          <w:szCs w:val="32"/>
          <w:lang w:eastAsia="zh-CN"/>
        </w:rPr>
        <w:t>年中追加新疆“信易贷”平台改造升级项目，导致预决算差异</w:t>
      </w:r>
      <w:r>
        <w:rPr>
          <w:rFonts w:ascii="仿宋_GB2312" w:eastAsia="仿宋_GB2312"/>
          <w:sz w:val="32"/>
          <w:szCs w:val="32"/>
          <w:lang w:eastAsia="zh-CN"/>
        </w:rPr>
        <w:t>。</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（二）一般公共预算财政拨款支出决算结构情况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1.</w:t>
      </w:r>
      <w:r>
        <w:rPr>
          <w:rFonts w:ascii="Times New Roman" w:hAnsi="Times New Roman" w:eastAsia="仿宋_GB2312" w:cs="Times New Roman"/>
          <w:sz w:val="32"/>
          <w:szCs w:val="32"/>
          <w:lang w:eastAsia="zh-CN"/>
        </w:rPr>
        <w:t>一般公共服务支出（类）551.08万元，占91.68%。</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2.</w:t>
      </w:r>
      <w:r>
        <w:rPr>
          <w:rFonts w:ascii="Times New Roman" w:hAnsi="Times New Roman" w:eastAsia="仿宋_GB2312" w:cs="Times New Roman"/>
          <w:sz w:val="32"/>
          <w:szCs w:val="32"/>
          <w:lang w:eastAsia="zh-CN"/>
        </w:rPr>
        <w:t>社会保障和就业支出（类）20.27万元，占3.37%。</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lang w:eastAsia="zh-CN"/>
        </w:rPr>
        <w:t>卫生健康支出（类）16.25万元，占2.70%。</w:t>
      </w:r>
    </w:p>
    <w:p>
      <w:pPr>
        <w:spacing w:after="0" w:line="580" w:lineRule="exact"/>
        <w:ind w:firstLine="640" w:firstLineChars="200"/>
        <w:jc w:val="both"/>
        <w:rPr>
          <w:rFonts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4.</w:t>
      </w:r>
      <w:bookmarkStart w:id="0" w:name="_GoBack"/>
      <w:bookmarkEnd w:id="0"/>
      <w:r>
        <w:rPr>
          <w:rFonts w:ascii="Times New Roman" w:hAnsi="Times New Roman" w:eastAsia="仿宋_GB2312" w:cs="Times New Roman"/>
          <w:sz w:val="32"/>
          <w:szCs w:val="32"/>
          <w:lang w:eastAsia="zh-CN"/>
        </w:rPr>
        <w:t>住房保障支出（类）13.45万元，占2.24%。</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（三）一般公共预算财政拨款支出决算具体情况</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仿宋_GB2312" w:eastAsia="仿宋_GB2312"/>
          <w:sz w:val="32"/>
          <w:szCs w:val="32"/>
          <w:lang w:eastAsia="zh-CN"/>
        </w:rPr>
        <w:t>一般公共服务支出（类）发展与改革事务（款）事业运行（项）：支出决算数为</w:t>
      </w:r>
      <w:r>
        <w:rPr>
          <w:rFonts w:ascii="Times New Roman" w:hAnsi="Times New Roman" w:eastAsia="仿宋_GB2312" w:cs="Times New Roman"/>
          <w:sz w:val="32"/>
          <w:szCs w:val="32"/>
          <w:lang w:eastAsia="zh-CN"/>
        </w:rPr>
        <w:t>173.12万元，比上年决算减少395.55万元，下降69.56%，主要原因是：</w:t>
      </w:r>
      <w:r>
        <w:rPr>
          <w:rFonts w:hint="eastAsia" w:ascii="Times New Roman" w:hAnsi="Times New Roman" w:eastAsia="仿宋_GB2312" w:cs="Times New Roman"/>
          <w:sz w:val="32"/>
          <w:szCs w:val="32"/>
          <w:lang w:eastAsia="zh-CN"/>
        </w:rPr>
        <w:t>本年信息网络及软件购置更新费用较上年减少。</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一般公共服务支出（类）发展与改革事务（款）其他发展与改革事务支出（项）：支出决算数为377.97万元，比上年决算增加377.97万元，增长100.00%，主要原因是：</w:t>
      </w:r>
      <w:r>
        <w:rPr>
          <w:rFonts w:hint="eastAsia" w:ascii="Times New Roman" w:hAnsi="Times New Roman" w:eastAsia="仿宋_GB2312" w:cs="Times New Roman"/>
          <w:sz w:val="32"/>
          <w:szCs w:val="32"/>
          <w:lang w:eastAsia="zh-CN"/>
        </w:rPr>
        <w:t>本年增加新疆“信易贷”平台改造升级项目。</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社会保障和就业支出（类）行政事业单位养老支出（款）事业单位离退休（项）：支出决算数为2.34万元，比上年决算增加0.28万元，增长13.59%，主要原因是：</w:t>
      </w:r>
      <w:r>
        <w:rPr>
          <w:rFonts w:hint="eastAsia" w:ascii="Times New Roman" w:hAnsi="Times New Roman" w:eastAsia="仿宋_GB2312" w:cs="Times New Roman"/>
          <w:sz w:val="32"/>
          <w:szCs w:val="32"/>
          <w:lang w:eastAsia="zh-CN"/>
        </w:rPr>
        <w:t>本年增加退休人员基础绩效奖，退休费支出增加。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社会保障和就业支出（类）行政事业单位养老支出（款）机关事业单位基本养老保险缴费支出（项）：支出决算数为17.94万元，比上年决算增加2.20万元，增长13.98%，主要原因是：</w:t>
      </w:r>
      <w:r>
        <w:rPr>
          <w:rFonts w:hint="eastAsia" w:ascii="Times New Roman" w:hAnsi="Times New Roman" w:eastAsia="仿宋_GB2312" w:cs="Times New Roman"/>
          <w:sz w:val="32"/>
          <w:szCs w:val="32"/>
          <w:lang w:eastAsia="zh-CN"/>
        </w:rPr>
        <w:t>本年在职人员工资基数调增，养老缴费基数上涨，相应支出增加。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卫生健康支出（类）行政事业单位医疗（款）事业单位医疗（项）：支出决算数为8.41万元，比上年决算减少1.91万元，下降18.51%，主要原因是：</w:t>
      </w:r>
      <w:r>
        <w:rPr>
          <w:rFonts w:hint="eastAsia" w:ascii="Times New Roman" w:hAnsi="Times New Roman" w:eastAsia="仿宋_GB2312" w:cs="Times New Roman"/>
          <w:sz w:val="32"/>
          <w:szCs w:val="32"/>
          <w:lang w:eastAsia="zh-CN"/>
        </w:rPr>
        <w:t>因退休人员医疗保险制度改革，退休人员基本医疗不再由单位缴纳，导致经费较上年减少。</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卫生健康支出（类）行政事业单位医疗（款）公务员医疗补助（项）：支出决算数为7.85万元，比上年决算增加0.96万元，增长13.93%，主要原因是：</w:t>
      </w:r>
      <w:r>
        <w:rPr>
          <w:rFonts w:hint="eastAsia" w:ascii="Times New Roman" w:hAnsi="Times New Roman" w:eastAsia="仿宋_GB2312" w:cs="Times New Roman"/>
          <w:sz w:val="32"/>
          <w:szCs w:val="32"/>
          <w:lang w:eastAsia="zh-CN"/>
        </w:rPr>
        <w:t>本年在职人员工资基数调增，医疗缴费基数上涨，相应支出增加。</w:t>
      </w:r>
    </w:p>
    <w:p>
      <w:pPr>
        <w:numPr>
          <w:ilvl w:val="0"/>
          <w:numId w:val="1"/>
        </w:numPr>
        <w:spacing w:after="0" w:line="580" w:lineRule="exact"/>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住房保障支出（类）住房改革支出（款）住房公积金（项）：支出决算数为13.45万元，比上年决算增加1.65万元，增长13.98%，主要原因是：</w:t>
      </w:r>
      <w:r>
        <w:rPr>
          <w:rFonts w:hint="eastAsia" w:ascii="Times New Roman" w:hAnsi="Times New Roman" w:eastAsia="仿宋_GB2312" w:cs="Times New Roman"/>
          <w:sz w:val="32"/>
          <w:szCs w:val="32"/>
          <w:lang w:eastAsia="zh-CN"/>
        </w:rPr>
        <w:t>本年在职人员工资基数调增，公积金缴费基数上涨，相应支出增加。</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一般公共预算财政拨款基本支出223.09万元，其中：人员经费184.22万元，包括：基本工资、津贴补贴、奖金、绩效工资、机关事业单位基本养老保险缴费、职工基本医疗保险缴费、公务员医疗补助缴费、其他社会保障缴费、住房公积金、退休费、奖励金和其他对个人和家庭的补助。</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公用经费38.87万元，包括：办公费、差旅费、维修（护）费、工会经费、福利费和其他商品和服务支出。</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九、财政拨款“三公”经费支出决算情况说明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2024年度财政拨款“三公”经费支出0.00万元，与上年相比无变化，主要原因是：</w:t>
      </w:r>
      <w:r>
        <w:rPr>
          <w:rFonts w:hint="eastAsia" w:ascii="Times New Roman" w:hAnsi="Times New Roman" w:eastAsia="仿宋_GB2312" w:cs="Times New Roman"/>
          <w:sz w:val="32"/>
          <w:szCs w:val="32"/>
          <w:lang w:eastAsia="zh-CN"/>
        </w:rPr>
        <w:t>2023年与2024年均未安排财政拨款“三公”经费支出</w:t>
      </w:r>
      <w:r>
        <w:rPr>
          <w:rFonts w:ascii="Times New Roman" w:hAnsi="Times New Roman" w:eastAsia="仿宋_GB2312" w:cs="Times New Roman"/>
          <w:sz w:val="32"/>
          <w:szCs w:val="32"/>
          <w:lang w:eastAsia="zh-CN"/>
        </w:rPr>
        <w:t>。其中：因公出国（境）费支出0.00万元,占0.00%，与上年相比无变化，主要原因是：</w:t>
      </w:r>
      <w:r>
        <w:rPr>
          <w:rFonts w:hint="eastAsia" w:ascii="Times New Roman" w:hAnsi="Times New Roman" w:eastAsia="仿宋_GB2312" w:cs="Times New Roman"/>
          <w:sz w:val="32"/>
          <w:szCs w:val="32"/>
          <w:lang w:eastAsia="zh-CN"/>
        </w:rPr>
        <w:t>2023年与2024年均未安排因公出国（境）费支出</w:t>
      </w:r>
      <w:r>
        <w:rPr>
          <w:rFonts w:ascii="Times New Roman" w:hAnsi="Times New Roman" w:eastAsia="仿宋_GB2312" w:cs="Times New Roman"/>
          <w:sz w:val="32"/>
          <w:szCs w:val="32"/>
          <w:lang w:eastAsia="zh-CN"/>
        </w:rPr>
        <w:t>；公务用车购置及运行维护费支出0.00万元，占0.00%，与上年相比无变化，主要原因是：</w:t>
      </w:r>
      <w:r>
        <w:rPr>
          <w:rFonts w:hint="eastAsia" w:ascii="Times New Roman" w:hAnsi="Times New Roman" w:eastAsia="仿宋_GB2312" w:cs="Times New Roman"/>
          <w:sz w:val="32"/>
          <w:szCs w:val="32"/>
          <w:lang w:eastAsia="zh-CN"/>
        </w:rPr>
        <w:t>2023年与2024年均未安排公务用车购置及运行维护费支出</w:t>
      </w:r>
      <w:r>
        <w:rPr>
          <w:rFonts w:ascii="Times New Roman" w:hAnsi="Times New Roman" w:eastAsia="仿宋_GB2312" w:cs="Times New Roman"/>
          <w:sz w:val="32"/>
          <w:szCs w:val="32"/>
          <w:lang w:eastAsia="zh-CN"/>
        </w:rPr>
        <w:t>；公务接待费支出0.00万元，占0.00%，与上年相比无变化，主要原因是：</w:t>
      </w:r>
      <w:r>
        <w:rPr>
          <w:rFonts w:hint="eastAsia" w:ascii="Times New Roman" w:hAnsi="Times New Roman" w:eastAsia="仿宋_GB2312" w:cs="Times New Roman"/>
          <w:sz w:val="32"/>
          <w:szCs w:val="32"/>
          <w:lang w:eastAsia="zh-CN"/>
        </w:rPr>
        <w:t>2023年与2024年均未安排公务接待费支出</w:t>
      </w:r>
      <w:r>
        <w:rPr>
          <w:rFonts w:ascii="Times New Roman" w:hAnsi="Times New Roman" w:eastAsia="仿宋_GB2312" w:cs="Times New Roman"/>
          <w:sz w:val="32"/>
          <w:szCs w:val="32"/>
          <w:lang w:eastAsia="zh-CN"/>
        </w:rPr>
        <w:t>。</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具体情况如下：</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因公出国（境）费支出0.00万元，开支内容包括</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。单位全年安排的因公出国（境）团组0个，因公出国（境）0人次。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公务用车购置及运行维护费0.00万元，其中：公务用车购置费0.00万元，公务用车运行维护费0.00万元。公务用车运行维护费开支内容包括</w:t>
      </w:r>
      <w:r>
        <w:rPr>
          <w:rFonts w:hint="eastAsia" w:ascii="Times New Roman" w:hAnsi="Times New Roman" w:eastAsia="仿宋_GB2312" w:cs="Times New Roman"/>
          <w:sz w:val="32"/>
          <w:szCs w:val="32"/>
          <w:lang w:eastAsia="zh-CN"/>
        </w:rPr>
        <w:t>本单位无公务用车运行维护费</w:t>
      </w:r>
      <w:r>
        <w:rPr>
          <w:rFonts w:ascii="Times New Roman" w:hAnsi="Times New Roman" w:eastAsia="仿宋_GB2312" w:cs="Times New Roman"/>
          <w:sz w:val="32"/>
          <w:szCs w:val="32"/>
          <w:lang w:eastAsia="zh-CN"/>
        </w:rPr>
        <w:t>。公务用车购置数0辆，公务用车保有量0辆。国有资产占用情况中固定资产车辆0辆，与公务用车保有量差异原因是：</w:t>
      </w:r>
      <w:r>
        <w:rPr>
          <w:rFonts w:hint="eastAsia" w:ascii="Times New Roman" w:hAnsi="Times New Roman" w:eastAsia="仿宋_GB2312" w:cs="Times New Roman"/>
          <w:sz w:val="32"/>
          <w:szCs w:val="32"/>
          <w:lang w:eastAsia="zh-CN"/>
        </w:rPr>
        <w:t>本单位无固定资产车辆</w:t>
      </w:r>
      <w:r>
        <w:rPr>
          <w:rFonts w:ascii="Times New Roman" w:hAnsi="Times New Roman" w:eastAsia="仿宋_GB2312" w:cs="Times New Roman"/>
          <w:sz w:val="32"/>
          <w:szCs w:val="32"/>
          <w:lang w:eastAsia="zh-CN"/>
        </w:rPr>
        <w:t>。</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公务接待费0.00万元，开支内容包括</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。单位全年安排的国内公务接待0批次，0人次。</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与全年预算相比，财政拨款“三公”经费支出全年预算数0.00万元，决算数0.00万元，预决算差异率0.00%，主要原因是：</w:t>
      </w:r>
      <w:r>
        <w:rPr>
          <w:rFonts w:hint="eastAsia" w:ascii="Times New Roman" w:hAnsi="Times New Roman" w:eastAsia="仿宋_GB2312" w:cs="Times New Roman"/>
          <w:sz w:val="32"/>
          <w:szCs w:val="32"/>
          <w:lang w:eastAsia="zh-CN"/>
        </w:rPr>
        <w:t>本单位无财政拨款“三公”经费</w:t>
      </w:r>
      <w:r>
        <w:rPr>
          <w:rFonts w:ascii="Times New Roman" w:hAnsi="Times New Roman" w:eastAsia="仿宋_GB2312" w:cs="Times New Roman"/>
          <w:sz w:val="32"/>
          <w:szCs w:val="32"/>
          <w:lang w:eastAsia="zh-CN"/>
        </w:rPr>
        <w:t>。其中：因公出国（境）费全年预算数0.00万元，决算数0.00万元，预决算差异率0.00%，主要原因是：</w:t>
      </w:r>
      <w:r>
        <w:rPr>
          <w:rFonts w:hint="eastAsia" w:ascii="Times New Roman" w:hAnsi="Times New Roman" w:eastAsia="仿宋_GB2312" w:cs="Times New Roman"/>
          <w:sz w:val="32"/>
          <w:szCs w:val="32"/>
          <w:lang w:eastAsia="zh-CN"/>
        </w:rPr>
        <w:t>本单位无因公出国（境）费</w:t>
      </w:r>
      <w:r>
        <w:rPr>
          <w:rFonts w:ascii="Times New Roman" w:hAnsi="Times New Roman" w:eastAsia="仿宋_GB2312" w:cs="Times New Roman"/>
          <w:sz w:val="32"/>
          <w:szCs w:val="32"/>
          <w:lang w:eastAsia="zh-CN"/>
        </w:rPr>
        <w:t>；公务用车购置费全年预算数0.00万元，决算数0.00万元，预决算差异率0.00%，主要原因是：</w:t>
      </w:r>
      <w:r>
        <w:rPr>
          <w:rFonts w:hint="eastAsia" w:ascii="Times New Roman" w:hAnsi="Times New Roman" w:eastAsia="仿宋_GB2312" w:cs="Times New Roman"/>
          <w:sz w:val="32"/>
          <w:szCs w:val="32"/>
          <w:lang w:eastAsia="zh-CN"/>
        </w:rPr>
        <w:t>本单位无公务用车购置费</w:t>
      </w:r>
      <w:r>
        <w:rPr>
          <w:rFonts w:ascii="Times New Roman" w:hAnsi="Times New Roman" w:eastAsia="仿宋_GB2312" w:cs="Times New Roman"/>
          <w:sz w:val="32"/>
          <w:szCs w:val="32"/>
          <w:lang w:eastAsia="zh-CN"/>
        </w:rPr>
        <w:t>；公务用车运行维护费全年预算数0.00万元，决算数0.00万元，预决算差异率0.00%，主要原因是：</w:t>
      </w:r>
      <w:r>
        <w:rPr>
          <w:rFonts w:hint="eastAsia" w:ascii="Times New Roman" w:hAnsi="Times New Roman" w:eastAsia="仿宋_GB2312" w:cs="Times New Roman"/>
          <w:sz w:val="32"/>
          <w:szCs w:val="32"/>
          <w:lang w:eastAsia="zh-CN"/>
        </w:rPr>
        <w:t>本单位无公务用车运行维护费</w:t>
      </w:r>
      <w:r>
        <w:rPr>
          <w:rFonts w:ascii="Times New Roman" w:hAnsi="Times New Roman" w:eastAsia="仿宋_GB2312" w:cs="Times New Roman"/>
          <w:sz w:val="32"/>
          <w:szCs w:val="32"/>
          <w:lang w:eastAsia="zh-CN"/>
        </w:rPr>
        <w:t>；公务接待费全年预算数0.00万元，决算数0.00万元，预决算差异率0.00%，主要原因是：</w:t>
      </w:r>
      <w:r>
        <w:rPr>
          <w:rFonts w:hint="eastAsia" w:ascii="Times New Roman" w:hAnsi="Times New Roman" w:eastAsia="仿宋_GB2312" w:cs="Times New Roman"/>
          <w:sz w:val="32"/>
          <w:szCs w:val="32"/>
          <w:lang w:eastAsia="zh-CN"/>
        </w:rPr>
        <w:t>本单位无公务接待费</w:t>
      </w:r>
      <w:r>
        <w:rPr>
          <w:rFonts w:ascii="Times New Roman" w:hAnsi="Times New Roman" w:eastAsia="仿宋_GB2312" w:cs="Times New Roman"/>
          <w:sz w:val="32"/>
          <w:szCs w:val="32"/>
          <w:lang w:eastAsia="zh-CN"/>
        </w:rPr>
        <w:t>。</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十、其他重要事项的情况说明</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（一）机关运行经费及公用经费支出情况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2024年度公用经费支出38.87万元，比上年减少403.37万元，下降91.21%，主要原因是：</w:t>
      </w:r>
      <w:r>
        <w:rPr>
          <w:rFonts w:hint="eastAsia" w:ascii="Times New Roman" w:hAnsi="Times New Roman" w:eastAsia="仿宋_GB2312" w:cs="Times New Roman"/>
          <w:sz w:val="32"/>
          <w:szCs w:val="32"/>
          <w:lang w:eastAsia="zh-CN"/>
        </w:rPr>
        <w:t>本年信息网络及软件购置更新费用较上年减少，导致</w:t>
      </w:r>
      <w:r>
        <w:rPr>
          <w:rFonts w:ascii="Times New Roman" w:hAnsi="Times New Roman" w:eastAsia="仿宋_GB2312" w:cs="Times New Roman"/>
          <w:sz w:val="32"/>
          <w:szCs w:val="32"/>
          <w:lang w:eastAsia="zh-CN"/>
        </w:rPr>
        <w:t>公用经费支出</w:t>
      </w:r>
      <w:r>
        <w:rPr>
          <w:rFonts w:hint="eastAsia" w:ascii="Times New Roman" w:hAnsi="Times New Roman" w:eastAsia="仿宋_GB2312" w:cs="Times New Roman"/>
          <w:sz w:val="32"/>
          <w:szCs w:val="32"/>
          <w:lang w:eastAsia="zh-CN"/>
        </w:rPr>
        <w:t>减少</w:t>
      </w:r>
      <w:r>
        <w:rPr>
          <w:rFonts w:ascii="Times New Roman" w:hAnsi="Times New Roman" w:eastAsia="仿宋_GB2312" w:cs="Times New Roman"/>
          <w:sz w:val="32"/>
          <w:szCs w:val="32"/>
          <w:lang w:eastAsia="zh-CN"/>
        </w:rPr>
        <w:t>。</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（二）政府采购情况</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2024年度政府采购支出总额389.23万元，其中：政府采购货物支出0.00万元、政府采购工程支出0.00万元、政府采购服务支出389.23万元。</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授予中小企业合同金额389.23万元，占政府采购支出总额的100.00%，其中：授予小微企业合同金额389.23万元，占政府采购支出总额的100.00%。</w:t>
      </w:r>
    </w:p>
    <w:p>
      <w:pPr>
        <w:widowControl w:val="0"/>
        <w:spacing w:after="0" w:line="580" w:lineRule="exact"/>
        <w:ind w:firstLine="642" w:firstLineChars="200"/>
        <w:jc w:val="both"/>
        <w:rPr>
          <w:rFonts w:ascii="Times New Roman" w:hAnsi="Times New Roman" w:eastAsia="楷体_GB2312" w:cs="Times New Roman"/>
          <w:b/>
          <w:kern w:val="2"/>
          <w:sz w:val="32"/>
          <w:szCs w:val="32"/>
          <w:lang w:eastAsia="zh-CN"/>
        </w:rPr>
      </w:pPr>
      <w:r>
        <w:rPr>
          <w:rFonts w:ascii="Times New Roman" w:hAnsi="Times New Roman" w:eastAsia="楷体_GB2312" w:cs="Times New Roman"/>
          <w:b/>
          <w:kern w:val="2"/>
          <w:sz w:val="32"/>
          <w:szCs w:val="32"/>
          <w:lang w:eastAsia="zh-CN"/>
        </w:rPr>
        <w:t>（三）国有资产占用情况说明</w:t>
      </w:r>
    </w:p>
    <w:p>
      <w:pPr>
        <w:spacing w:after="0" w:line="580" w:lineRule="exact"/>
        <w:ind w:firstLine="640" w:firstLineChars="200"/>
        <w:jc w:val="both"/>
        <w:rPr>
          <w:rFonts w:ascii="Times New Roman" w:hAnsi="Times New Roman" w:eastAsia="仿宋_GB2312" w:cs="Times New Roman"/>
          <w:sz w:val="32"/>
          <w:szCs w:val="32"/>
          <w:lang w:eastAsia="zh-CN"/>
        </w:rPr>
      </w:pPr>
      <w:r>
        <w:rPr>
          <w:rFonts w:ascii="Times New Roman" w:hAnsi="Times New Roman" w:eastAsia="仿宋_GB2312" w:cs="Times New Roman"/>
          <w:sz w:val="32"/>
          <w:szCs w:val="32"/>
          <w:lang w:eastAsia="zh-CN"/>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w:t>
      </w:r>
      <w:r>
        <w:rPr>
          <w:rFonts w:hint="eastAsia" w:ascii="Times New Roman" w:hAnsi="Times New Roman" w:eastAsia="仿宋_GB2312" w:cs="Times New Roman"/>
          <w:sz w:val="32"/>
          <w:szCs w:val="32"/>
          <w:lang w:eastAsia="zh-CN"/>
        </w:rPr>
        <w:t>本单位无</w:t>
      </w:r>
      <w:r>
        <w:rPr>
          <w:rFonts w:ascii="Times New Roman" w:hAnsi="Times New Roman" w:eastAsia="仿宋_GB2312" w:cs="Times New Roman"/>
          <w:sz w:val="32"/>
          <w:szCs w:val="32"/>
          <w:lang w:eastAsia="zh-CN"/>
        </w:rPr>
        <w:t>其他用车;单价100万元（含）以上设备（不含车辆）0台（套）。</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十一、预算绩效的情况说明</w:t>
      </w:r>
    </w:p>
    <w:p>
      <w:pPr>
        <w:spacing w:after="0" w:line="580" w:lineRule="exact"/>
        <w:ind w:firstLine="640" w:firstLineChars="200"/>
        <w:jc w:val="both"/>
        <w:rPr>
          <w:rFonts w:ascii="仿宋_GB2312" w:eastAsia="仿宋_GB2312"/>
          <w:sz w:val="32"/>
          <w:szCs w:val="32"/>
          <w:lang w:eastAsia="zh-CN"/>
        </w:rPr>
      </w:pPr>
      <w:r>
        <w:rPr>
          <w:rFonts w:ascii="仿宋_GB2312" w:eastAsia="仿宋_GB2312"/>
          <w:sz w:val="32"/>
          <w:szCs w:val="32"/>
          <w:lang w:eastAsia="zh-CN"/>
        </w:rPr>
        <w:t>根据预算绩效管理要求，本单位</w:t>
      </w:r>
      <w:r>
        <w:rPr>
          <w:rFonts w:ascii="Times New Roman" w:hAnsi="Times New Roman" w:eastAsia="仿宋_GB2312" w:cs="Times New Roman"/>
          <w:sz w:val="32"/>
          <w:szCs w:val="32"/>
          <w:lang w:eastAsia="zh-CN"/>
        </w:rPr>
        <w:t>2024</w:t>
      </w:r>
      <w:r>
        <w:rPr>
          <w:rFonts w:ascii="仿宋_GB2312" w:eastAsia="仿宋_GB2312"/>
          <w:sz w:val="32"/>
          <w:szCs w:val="32"/>
          <w:lang w:eastAsia="zh-CN"/>
        </w:rPr>
        <w:t>年度预算绩效评价项目</w:t>
      </w:r>
      <w:r>
        <w:rPr>
          <w:rFonts w:hint="eastAsia" w:ascii="Times New Roman" w:hAnsi="Times New Roman" w:eastAsia="仿宋_GB2312" w:cs="Times New Roman"/>
          <w:sz w:val="32"/>
          <w:szCs w:val="32"/>
          <w:lang w:eastAsia="zh-CN"/>
        </w:rPr>
        <w:t>1</w:t>
      </w:r>
      <w:r>
        <w:rPr>
          <w:rFonts w:ascii="Times New Roman" w:hAnsi="Times New Roman" w:eastAsia="仿宋_GB2312" w:cs="Times New Roman"/>
          <w:sz w:val="32"/>
          <w:szCs w:val="32"/>
          <w:lang w:eastAsia="zh-CN"/>
        </w:rPr>
        <w:t>个</w:t>
      </w:r>
      <w:r>
        <w:rPr>
          <w:rFonts w:ascii="仿宋_GB2312" w:eastAsia="仿宋_GB2312"/>
          <w:sz w:val="32"/>
          <w:szCs w:val="32"/>
          <w:lang w:eastAsia="zh-CN"/>
        </w:rPr>
        <w:t>，全年预算数</w:t>
      </w:r>
      <w:r>
        <w:rPr>
          <w:rFonts w:hint="eastAsia" w:ascii="Times New Roman" w:hAnsi="Times New Roman" w:eastAsia="仿宋_GB2312" w:cs="Times New Roman"/>
          <w:sz w:val="32"/>
          <w:szCs w:val="32"/>
          <w:lang w:eastAsia="zh-CN"/>
        </w:rPr>
        <w:t>27.00</w:t>
      </w:r>
      <w:r>
        <w:rPr>
          <w:rFonts w:ascii="仿宋_GB2312" w:eastAsia="仿宋_GB2312"/>
          <w:sz w:val="32"/>
          <w:szCs w:val="32"/>
          <w:lang w:eastAsia="zh-CN"/>
        </w:rPr>
        <w:t>万元，全年执行数</w:t>
      </w:r>
      <w:r>
        <w:rPr>
          <w:rFonts w:hint="eastAsia" w:ascii="Times New Roman" w:hAnsi="Times New Roman" w:eastAsia="仿宋_GB2312" w:cs="Times New Roman"/>
          <w:sz w:val="32"/>
          <w:szCs w:val="32"/>
          <w:lang w:eastAsia="zh-CN"/>
        </w:rPr>
        <w:t>27.00</w:t>
      </w:r>
      <w:r>
        <w:rPr>
          <w:rFonts w:ascii="仿宋_GB2312" w:eastAsia="仿宋_GB2312"/>
          <w:sz w:val="32"/>
          <w:szCs w:val="32"/>
          <w:lang w:eastAsia="zh-CN"/>
        </w:rPr>
        <w:t>万元。预算绩效管理取得的成效：</w:t>
      </w:r>
      <w:r>
        <w:rPr>
          <w:rStyle w:val="15"/>
          <w:rFonts w:eastAsia="仿宋_GB2312"/>
          <w:b w:val="0"/>
          <w:spacing w:val="-4"/>
          <w:sz w:val="32"/>
          <w:szCs w:val="32"/>
          <w:lang w:eastAsia="zh-CN"/>
        </w:rPr>
        <w:t>一是加强预算和项目全生命周期管理，动态追踪资金使用情况，确保预算执行的规范性和透明度。二是深化预算绩效管理，通过绩效目标设定、运行监控和结果应用，强化资金使用的效益导向。三是科学设定绩效目标</w:t>
      </w:r>
      <w:r>
        <w:rPr>
          <w:rFonts w:ascii="仿宋_GB2312" w:eastAsia="仿宋_GB2312"/>
          <w:sz w:val="32"/>
          <w:szCs w:val="32"/>
          <w:lang w:eastAsia="zh-CN"/>
        </w:rPr>
        <w:t>。发现的问题及原因：</w:t>
      </w:r>
      <w:r>
        <w:rPr>
          <w:rStyle w:val="15"/>
          <w:rFonts w:ascii="Times New Roman" w:hAnsi="Times New Roman" w:eastAsia="仿宋_GB2312" w:cs="Times New Roman"/>
          <w:b w:val="0"/>
          <w:spacing w:val="-4"/>
          <w:sz w:val="32"/>
          <w:szCs w:val="32"/>
          <w:lang w:eastAsia="zh-CN"/>
        </w:rPr>
        <w:t>一是缺少带着问题去评价的意识。二是现场评价的工作量少，后续效益评价具体措施和方法较少</w:t>
      </w:r>
      <w:r>
        <w:rPr>
          <w:rFonts w:ascii="仿宋_GB2312" w:eastAsia="仿宋_GB2312"/>
          <w:sz w:val="32"/>
          <w:szCs w:val="32"/>
          <w:lang w:eastAsia="zh-CN"/>
        </w:rPr>
        <w:t>。下一步改进措施：</w:t>
      </w:r>
      <w:r>
        <w:rPr>
          <w:rStyle w:val="15"/>
          <w:rFonts w:ascii="Times New Roman" w:hAnsi="Times New Roman" w:eastAsia="仿宋_GB2312" w:cs="Times New Roman"/>
          <w:b w:val="0"/>
          <w:spacing w:val="-4"/>
          <w:sz w:val="32"/>
          <w:szCs w:val="32"/>
          <w:lang w:eastAsia="zh-CN"/>
        </w:rPr>
        <w:t>加强绩效管理重视程度，定期组织绩效管理培训。项目评价过程中进一步引入第三方评价机构，对部门自我审定时存在的问题进行指导，进一步破除自我审定的局限性，同时查漏补缺</w:t>
      </w:r>
      <w:r>
        <w:rPr>
          <w:rFonts w:ascii="仿宋_GB2312" w:eastAsia="仿宋_GB2312"/>
          <w:sz w:val="32"/>
          <w:szCs w:val="32"/>
          <w:lang w:eastAsia="zh-CN"/>
        </w:rPr>
        <w:t>。具体附项目支出绩效自评表。</w:t>
      </w:r>
    </w:p>
    <w:p>
      <w:pPr>
        <w:spacing w:after="0" w:line="580" w:lineRule="exact"/>
        <w:ind w:firstLine="640" w:firstLineChars="200"/>
        <w:jc w:val="both"/>
        <w:outlineLvl w:val="1"/>
        <w:rPr>
          <w:rFonts w:ascii="黑体" w:eastAsia="黑体"/>
          <w:sz w:val="32"/>
          <w:szCs w:val="32"/>
          <w:lang w:eastAsia="zh-CN"/>
        </w:rPr>
      </w:pPr>
      <w:r>
        <w:rPr>
          <w:rFonts w:ascii="黑体" w:eastAsia="黑体"/>
          <w:sz w:val="32"/>
          <w:szCs w:val="32"/>
          <w:lang w:eastAsia="zh-CN"/>
        </w:rPr>
        <w:t>十二、其他需说明的事项</w:t>
      </w:r>
    </w:p>
    <w:p>
      <w:pPr>
        <w:spacing w:after="0" w:line="580" w:lineRule="exact"/>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本单位无其他需说明的事项</w:t>
      </w:r>
      <w:r>
        <w:rPr>
          <w:rFonts w:ascii="仿宋_GB2312" w:eastAsia="仿宋_GB2312"/>
          <w:sz w:val="32"/>
          <w:szCs w:val="32"/>
          <w:lang w:eastAsia="zh-CN"/>
        </w:rPr>
        <w:t>。</w:t>
      </w:r>
    </w:p>
    <w:p>
      <w:pPr>
        <w:spacing w:after="0" w:line="580" w:lineRule="exact"/>
        <w:ind w:firstLine="640" w:firstLineChars="200"/>
        <w:jc w:val="both"/>
        <w:rPr>
          <w:rFonts w:ascii="仿宋_GB2312" w:eastAsia="仿宋_GB2312"/>
          <w:sz w:val="32"/>
          <w:szCs w:val="32"/>
          <w:lang w:eastAsia="zh-CN"/>
        </w:rPr>
      </w:pPr>
    </w:p>
    <w:p>
      <w:pPr>
        <w:widowControl w:val="0"/>
        <w:spacing w:after="0"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第三部分专业名词解释</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after="0" w:line="580" w:lineRule="exact"/>
        <w:ind w:firstLine="642" w:firstLineChars="200"/>
        <w:jc w:val="both"/>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pPr>
        <w:spacing w:line="580" w:lineRule="exact"/>
        <w:ind w:firstLine="0" w:firstLineChars="200"/>
        <w:jc w:val="both"/>
        <w:rPr>
          <w:lang w:eastAsia="zh-CN"/>
        </w:rPr>
      </w:pPr>
      <w:r>
        <w:rPr>
          <w:sz w:val="0"/>
          <w:szCs w:val="0"/>
          <w:lang w:eastAsia="zh-CN"/>
        </w:rPr>
        <w:br w:type="page"/>
      </w:r>
    </w:p>
    <w:p>
      <w:pPr>
        <w:spacing w:after="0" w:line="580" w:lineRule="exact"/>
        <w:ind w:firstLine="640" w:firstLineChars="200"/>
        <w:jc w:val="center"/>
        <w:outlineLvl w:val="0"/>
        <w:rPr>
          <w:rFonts w:ascii="黑体" w:eastAsia="黑体"/>
          <w:sz w:val="32"/>
          <w:szCs w:val="32"/>
          <w:lang w:eastAsia="zh-CN"/>
        </w:rPr>
      </w:pPr>
      <w:r>
        <w:rPr>
          <w:rFonts w:ascii="黑体" w:eastAsia="黑体"/>
          <w:sz w:val="32"/>
          <w:szCs w:val="32"/>
          <w:lang w:eastAsia="zh-CN"/>
        </w:rPr>
        <w:t>第四部分部门决算报表（见附表）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一、《收入支出决算总表》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二、《收入决算表》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三、《支出决算表》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pPr>
        <w:spacing w:after="0" w:line="580" w:lineRule="exact"/>
        <w:ind w:firstLine="640" w:firstLineChars="200"/>
        <w:jc w:val="both"/>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footerReference r:id="rId5" w:type="default"/>
      <w:footerReference r:id="rId6" w:type="even"/>
      <w:pgSz w:w="12240" w:h="15840"/>
      <w:pgMar w:top="2098" w:right="1531" w:bottom="1985" w:left="1531" w:header="720" w:footer="397" w:gutter="0"/>
      <w:pgNumType w:fmt="numberInDash" w:start="0"/>
      <w:cols w:space="720" w:num="1"/>
      <w:titlePg/>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Cambria">
    <w:altName w:val="Noto Sans Syriac Eastern"/>
    <w:panose1 w:val="02040503050406030204"/>
    <w:charset w:val="00"/>
    <w:family w:val="roman"/>
    <w:pitch w:val="default"/>
    <w:sig w:usb0="00000000" w:usb1="00000000" w:usb2="00000000" w:usb3="00000000" w:csb0="0000019F" w:csb1="00000000"/>
  </w:font>
  <w:font w:name="Noto Sans Syriac Eastern">
    <w:panose1 w:val="02040503050306020203"/>
    <w:charset w:val="86"/>
    <w:family w:val="auto"/>
    <w:pitch w:val="default"/>
    <w:sig w:usb0="00000000" w:usb1="00000000" w:usb2="00000080" w:usb3="00000000" w:csb0="203E0161" w:csb1="D7FF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Noto Sans CJK JP Bold">
    <w:panose1 w:val="020B0800000000000000"/>
    <w:charset w:val="86"/>
    <w:family w:val="auto"/>
    <w:pitch w:val="default"/>
    <w:sig w:usb0="30000003" w:usb1="2BDF3C10" w:usb2="00000016" w:usb3="00000000" w:csb0="602E010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EndPr>
      <w:rPr>
        <w:rFonts w:asciiTheme="minorEastAsia" w:hAnsiTheme="minorEastAsia" w:eastAsiaTheme="minorEastAsia"/>
        <w:sz w:val="28"/>
        <w:szCs w:val="28"/>
      </w:rPr>
    </w:sdtEndPr>
    <w:sdtContent>
      <w:p>
        <w:pPr>
          <w:pStyle w:val="8"/>
          <w:jc w:val="right"/>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rPr>
          <w:t>- 3 -</w:t>
        </w:r>
        <w:r>
          <w:rPr>
            <w:rFonts w:asciiTheme="minorEastAsia" w:hAnsiTheme="minorEastAsia" w:eastAsiaTheme="minorEastAsia"/>
            <w:sz w:val="28"/>
            <w:szCs w:val="28"/>
          </w:rPr>
          <w:fldChar w:fldCharType="end"/>
        </w:r>
      </w:p>
    </w:sdtContent>
  </w:sdt>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51159604"/>
      <w:docPartObj>
        <w:docPartGallery w:val="AutoText"/>
      </w:docPartObj>
    </w:sdtPr>
    <w:sdtEndPr>
      <w:rPr>
        <w:rFonts w:asciiTheme="minorEastAsia" w:hAnsiTheme="minorEastAsia" w:eastAsiaTheme="minorEastAsia"/>
        <w:sz w:val="28"/>
        <w:szCs w:val="28"/>
      </w:rPr>
    </w:sdtEndPr>
    <w:sdtContent>
      <w:p>
        <w:pPr>
          <w:pStyle w:val="8"/>
          <w:jc w:val="both"/>
          <w:rPr>
            <w:rFonts w:asciiTheme="minorEastAsia" w:hAnsiTheme="minorEastAsia" w:eastAsiaTheme="minorEastAsia"/>
            <w:sz w:val="28"/>
            <w:szCs w:val="28"/>
          </w:rPr>
        </w:pPr>
        <w:r>
          <w:rPr>
            <w:rFonts w:asciiTheme="minorEastAsia" w:hAnsiTheme="minorEastAsia" w:eastAsiaTheme="minorEastAsia"/>
            <w:sz w:val="28"/>
            <w:szCs w:val="28"/>
          </w:rPr>
          <w:fldChar w:fldCharType="begin"/>
        </w:r>
        <w:r>
          <w:rPr>
            <w:rFonts w:asciiTheme="minorEastAsia" w:hAnsiTheme="minorEastAsia" w:eastAsiaTheme="minorEastAsia"/>
            <w:sz w:val="28"/>
            <w:szCs w:val="28"/>
          </w:rPr>
          <w:instrText xml:space="preserve">PAGE   \* MERGEFORMAT</w:instrText>
        </w:r>
        <w:r>
          <w:rPr>
            <w:rFonts w:asciiTheme="minorEastAsia" w:hAnsiTheme="minorEastAsia" w:eastAsiaTheme="minorEastAsia"/>
            <w:sz w:val="28"/>
            <w:szCs w:val="28"/>
          </w:rPr>
          <w:fldChar w:fldCharType="separate"/>
        </w:r>
        <w:r>
          <w:rPr>
            <w:rFonts w:asciiTheme="minorEastAsia" w:hAnsiTheme="minorEastAsia" w:eastAsiaTheme="minorEastAsia"/>
            <w:sz w:val="28"/>
            <w:szCs w:val="28"/>
            <w:lang w:val="zh-CN" w:eastAsia="zh-CN"/>
          </w:rPr>
          <w:t>-</w:t>
        </w:r>
        <w:r>
          <w:rPr>
            <w:rFonts w:asciiTheme="minorEastAsia" w:hAnsiTheme="minorEastAsia" w:eastAsiaTheme="minorEastAsia"/>
            <w:sz w:val="28"/>
            <w:szCs w:val="28"/>
          </w:rPr>
          <w:t xml:space="preserve"> </w:t>
        </w:r>
        <w:r>
          <w:rPr>
            <w:rFonts w:asciiTheme="minorEastAsia" w:hAnsiTheme="minorEastAsia" w:eastAsiaTheme="minorEastAsia"/>
            <w:sz w:val="28"/>
            <w:szCs w:val="28"/>
            <w:lang w:eastAsia="zh-CN"/>
          </w:rPr>
          <w:t>2</w:t>
        </w:r>
        <w:r>
          <w:rPr>
            <w:rFonts w:asciiTheme="minorEastAsia" w:hAnsiTheme="minorEastAsia" w:eastAsiaTheme="minorEastAsia"/>
            <w:sz w:val="28"/>
            <w:szCs w:val="28"/>
          </w:rPr>
          <w:t xml:space="preserve"> -</w:t>
        </w:r>
        <w:r>
          <w:rPr>
            <w:rFonts w:asciiTheme="minorEastAsia" w:hAnsiTheme="minorEastAsia" w:eastAsiaTheme="minorEastAsia"/>
            <w:sz w:val="28"/>
            <w:szCs w:val="28"/>
          </w:rPr>
          <w:fldChar w:fldCharType="end"/>
        </w:r>
      </w:p>
    </w:sdtContent>
  </w:sdt>
  <w:p>
    <w:pPr>
      <w:pStyle w:val="8"/>
      <w:rPr>
        <w:rFonts w:asciiTheme="minorEastAsia" w:hAnsiTheme="minorEastAsia" w:eastAsiaTheme="minorEastAsia"/>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multilevel"/>
    <w:tmpl w:val="0053208E"/>
    <w:lvl w:ilvl="0" w:tentative="0">
      <w:start w:val="1"/>
      <w:numFmt w:val="decimal"/>
      <w:suff w:val="nothing"/>
      <w:lvlText w:val="%1."/>
      <w:lvlJc w:val="left"/>
      <w:pPr>
        <w:spacing w:before="0" w:beforeLines="0" w:beforeAutospacing="0" w:line="240" w:lineRule="auto"/>
        <w:ind w:firstLine="640" w:firstLineChars="200"/>
      </w:pPr>
    </w:lvl>
    <w:lvl w:ilvl="1" w:tentative="0">
      <w:start w:val="1"/>
      <w:numFmt w:val="decimal"/>
      <w:suff w:val="nothing"/>
      <w:lvlText w:val="%1.%2."/>
      <w:lvlJc w:val="left"/>
      <w:pPr>
        <w:spacing w:before="0" w:beforeLines="0" w:beforeAutospacing="0" w:line="240" w:lineRule="auto"/>
        <w:ind w:firstLine="640" w:firstLineChars="200"/>
      </w:pPr>
    </w:lvl>
    <w:lvl w:ilvl="2" w:tentative="0">
      <w:start w:val="1"/>
      <w:numFmt w:val="decimal"/>
      <w:suff w:val="nothing"/>
      <w:lvlText w:val="%1.%2.%3."/>
      <w:lvlJc w:val="left"/>
      <w:pPr>
        <w:ind w:left="0" w:firstLine="0"/>
      </w:pPr>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evenAndOddHeaders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2"/>
    <w:compatSetting w:name="overrideTableStyleFontSizeAndJustification" w:uri="http://schemas.microsoft.com/office/word" w:val="1"/>
  </w:compat>
  <w:rsids>
    <w:rsidRoot w:val="001352A1"/>
    <w:rsid w:val="00066E7D"/>
    <w:rsid w:val="0008332E"/>
    <w:rsid w:val="0013035B"/>
    <w:rsid w:val="001352A1"/>
    <w:rsid w:val="003F1E13"/>
    <w:rsid w:val="004C527F"/>
    <w:rsid w:val="007D2B38"/>
    <w:rsid w:val="00847C7B"/>
    <w:rsid w:val="00BC3E61"/>
    <w:rsid w:val="00D771C3"/>
    <w:rsid w:val="00E93940"/>
    <w:rsid w:val="00F13F52"/>
    <w:rsid w:val="236959D2"/>
    <w:rsid w:val="243011DA"/>
    <w:rsid w:val="FD6F57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en-US" w:eastAsia="en-US" w:bidi="ar-SA"/>
    </w:rPr>
  </w:style>
  <w:style w:type="paragraph" w:styleId="2">
    <w:name w:val="heading 1"/>
    <w:basedOn w:val="1"/>
    <w:next w:val="1"/>
    <w:link w:val="19"/>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20"/>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1"/>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2"/>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semiHidden/>
    <w:unhideWhenUsed/>
    <w:qFormat/>
    <w:uiPriority w:val="35"/>
    <w:pPr>
      <w:spacing w:line="240" w:lineRule="auto"/>
    </w:pPr>
    <w:rPr>
      <w:b/>
      <w:bCs/>
      <w:color w:val="4F81BD" w:themeColor="accent1"/>
      <w:sz w:val="18"/>
      <w:szCs w:val="18"/>
    </w:rPr>
  </w:style>
  <w:style w:type="paragraph" w:styleId="8">
    <w:name w:val="footer"/>
    <w:basedOn w:val="1"/>
    <w:link w:val="25"/>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8"/>
    <w:unhideWhenUsed/>
    <w:qFormat/>
    <w:uiPriority w:val="99"/>
    <w:pPr>
      <w:tabs>
        <w:tab w:val="center" w:pos="4680"/>
        <w:tab w:val="right" w:pos="9360"/>
      </w:tabs>
    </w:pPr>
  </w:style>
  <w:style w:type="paragraph" w:styleId="10">
    <w:name w:val="Subtitle"/>
    <w:basedOn w:val="1"/>
    <w:next w:val="1"/>
    <w:link w:val="23"/>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4"/>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Strong"/>
    <w:basedOn w:val="14"/>
    <w:qFormat/>
    <w:uiPriority w:val="0"/>
    <w:rPr>
      <w:b/>
      <w:bCs/>
    </w:rPr>
  </w:style>
  <w:style w:type="character" w:styleId="16">
    <w:name w:val="Emphasis"/>
    <w:basedOn w:val="14"/>
    <w:qFormat/>
    <w:uiPriority w:val="20"/>
    <w:rPr>
      <w:i/>
      <w:iCs/>
    </w:rPr>
  </w:style>
  <w:style w:type="character" w:styleId="17">
    <w:name w:val="Hyperlink"/>
    <w:basedOn w:val="14"/>
    <w:unhideWhenUsed/>
    <w:qFormat/>
    <w:uiPriority w:val="99"/>
    <w:rPr>
      <w:color w:val="0000FF" w:themeColor="hyperlink"/>
      <w:u w:val="single"/>
    </w:rPr>
  </w:style>
  <w:style w:type="character" w:customStyle="1" w:styleId="18">
    <w:name w:val="页眉 Char"/>
    <w:basedOn w:val="14"/>
    <w:link w:val="9"/>
    <w:qFormat/>
    <w:uiPriority w:val="99"/>
  </w:style>
  <w:style w:type="character" w:customStyle="1" w:styleId="19">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20">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1">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2">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3">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4">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5">
    <w:name w:val="页脚 Char"/>
    <w:basedOn w:val="14"/>
    <w:link w:val="8"/>
    <w:qFormat/>
    <w:uiPriority w:val="99"/>
    <w:rPr>
      <w:rFonts w:asciiTheme="minorHAnsi" w:hAnsiTheme="minorHAnsi" w:eastAsiaTheme="minorHAnsi" w:cstheme="minorBidi"/>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P R C</Company>
  <Pages>15</Pages>
  <Words>864</Words>
  <Characters>4927</Characters>
  <Lines>41</Lines>
  <Paragraphs>11</Paragraphs>
  <TotalTime>41</TotalTime>
  <ScaleCrop>false</ScaleCrop>
  <LinksUpToDate>false</LinksUpToDate>
  <CharactersWithSpaces>5780</CharactersWithSpaces>
  <Application>WPS Office_11.8.2.11958_F1E327BC-269C-435d-A152-05C5408002CA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2025-08-18T19:34:00Z</dcterms:created>
  <dc:creator>admin</dc:creator>
  <cp:lastModifiedBy>fgw</cp:lastModifiedBy>
  <dcterms:modified xsi:type="dcterms:W3CDTF">2025-08-26T19:02:13Z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eyJoZGlkIjoiN2E1ZDY0MDI5MTE3YjM0ZGMyMzg4N2EwMDI4ZjJiM2YiLCJ1c2VySWQiOiIyNTk4NTcxMjUifQ==</vt:lpwstr>
  </property>
  <property fmtid="{D5CDD505-2E9C-101B-9397-08002B2CF9AE}" pid="3" name="KSOProductBuildVer">
    <vt:lpwstr>2052-11.8.2.11958</vt:lpwstr>
  </property>
  <property fmtid="{D5CDD505-2E9C-101B-9397-08002B2CF9AE}" pid="4" name="ICV">
    <vt:lpwstr>D241D866D8BB4D97BBC53082E27C1E81_12</vt:lpwstr>
  </property>
</Properties>
</file>