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宋体" w:eastAsia="宋体"/>
          <w:sz w:val="32"/>
          <w:szCs w:val="32"/>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jc w:val="center"/>
        <w:outlineLvl w:val="0"/>
        <w:rPr>
          <w:rFonts w:ascii="Times New Roman" w:hAnsi="Times New Roman" w:eastAsia="黑体" w:cs="Times New Roman"/>
          <w:sz w:val="44"/>
          <w:szCs w:val="44"/>
          <w:lang w:eastAsia="zh-CN"/>
        </w:rPr>
      </w:pPr>
      <w:r>
        <w:rPr>
          <w:rFonts w:ascii="Times New Roman" w:hAnsi="Times New Roman" w:eastAsia="黑体" w:cs="Times New Roman"/>
          <w:sz w:val="44"/>
          <w:szCs w:val="44"/>
          <w:lang w:eastAsia="zh-CN"/>
        </w:rPr>
        <w:t>新疆维吾尔自治区发展和改革委员会</w:t>
      </w:r>
    </w:p>
    <w:p>
      <w:pPr>
        <w:spacing w:after="0" w:line="240" w:lineRule="auto"/>
        <w:jc w:val="center"/>
        <w:outlineLvl w:val="0"/>
        <w:rPr>
          <w:rFonts w:ascii="Times New Roman" w:hAnsi="Times New Roman" w:eastAsia="黑体" w:cs="Times New Roman"/>
          <w:sz w:val="44"/>
          <w:szCs w:val="44"/>
          <w:lang w:eastAsia="zh-CN"/>
        </w:rPr>
      </w:pPr>
      <w:r>
        <w:rPr>
          <w:rFonts w:ascii="Times New Roman" w:hAnsi="Times New Roman" w:eastAsia="黑体" w:cs="Times New Roman"/>
          <w:sz w:val="44"/>
          <w:szCs w:val="44"/>
          <w:lang w:eastAsia="zh-CN"/>
        </w:rPr>
        <w:t>宣传教育中心（原干部培训中心）</w:t>
      </w:r>
    </w:p>
    <w:p>
      <w:pPr>
        <w:spacing w:after="0" w:line="240" w:lineRule="auto"/>
        <w:jc w:val="center"/>
        <w:outlineLvl w:val="0"/>
        <w:rPr>
          <w:rFonts w:ascii="Times New Roman" w:hAnsi="Times New Roman" w:eastAsia="黑体" w:cs="Times New Roman"/>
          <w:sz w:val="44"/>
          <w:szCs w:val="44"/>
          <w:lang w:eastAsia="zh-CN"/>
        </w:rPr>
      </w:pPr>
      <w:r>
        <w:rPr>
          <w:rFonts w:ascii="Times New Roman" w:hAnsi="Times New Roman" w:eastAsia="黑体" w:cs="Times New Roman"/>
          <w:sz w:val="44"/>
          <w:szCs w:val="44"/>
          <w:lang w:eastAsia="zh-CN"/>
        </w:rPr>
        <w:t>2024年度部门决算公开说明</w:t>
      </w:r>
    </w:p>
    <w:p>
      <w:pPr>
        <w:spacing w:after="0" w:line="240" w:lineRule="auto"/>
        <w:jc w:val="center"/>
        <w:rPr>
          <w:rFonts w:ascii="Times New Roman" w:hAnsi="Times New Roman" w:eastAsia="黑体" w:cs="Times New Roman"/>
          <w:b/>
          <w:sz w:val="32"/>
          <w:szCs w:val="32"/>
          <w:lang w:eastAsia="zh-CN"/>
        </w:rPr>
        <w:sectPr>
          <w:pgSz w:w="11907" w:h="16839"/>
          <w:pgMar w:top="1440" w:right="1800" w:bottom="1440" w:left="1800" w:header="720" w:footer="720" w:gutter="0"/>
          <w:cols w:space="720" w:num="1"/>
          <w:docGrid w:linePitch="299" w:charSpace="0"/>
        </w:sectPr>
      </w:pPr>
    </w:p>
    <w:p>
      <w:pPr>
        <w:spacing w:after="0" w:line="240" w:lineRule="auto"/>
        <w:jc w:val="center"/>
        <w:rPr>
          <w:rFonts w:ascii="Times New Roman" w:hAnsi="Times New Roman" w:eastAsia="黑体" w:cs="Times New Roman"/>
          <w:sz w:val="32"/>
          <w:szCs w:val="32"/>
          <w:lang w:eastAsia="zh-CN"/>
        </w:rPr>
      </w:pPr>
      <w:r>
        <w:rPr>
          <w:rFonts w:ascii="Times New Roman" w:hAnsi="Times New Roman" w:eastAsia="黑体" w:cs="Times New Roman"/>
          <w:b/>
          <w:sz w:val="32"/>
          <w:szCs w:val="32"/>
          <w:lang w:eastAsia="zh-CN"/>
        </w:rPr>
        <w:t>目录</w:t>
      </w:r>
    </w:p>
    <w:p>
      <w:pPr>
        <w:spacing w:after="0" w:line="560" w:lineRule="exact"/>
        <w:rPr>
          <w:rFonts w:ascii="黑体" w:hAnsi="黑体" w:eastAsia="黑体" w:cs="Times New Roman"/>
          <w:sz w:val="32"/>
          <w:szCs w:val="32"/>
          <w:lang w:eastAsia="zh-CN"/>
        </w:rPr>
      </w:pPr>
      <w:r>
        <w:rPr>
          <w:rFonts w:ascii="黑体" w:hAnsi="黑体" w:eastAsia="黑体" w:cs="Times New Roman"/>
          <w:sz w:val="32"/>
          <w:szCs w:val="32"/>
          <w:lang w:eastAsia="zh-CN"/>
        </w:rPr>
        <w:t>第一部分单位概况</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一、主要职能</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二、机构设置及人员情况</w:t>
      </w:r>
    </w:p>
    <w:p>
      <w:pPr>
        <w:spacing w:after="0" w:line="560" w:lineRule="exact"/>
        <w:rPr>
          <w:rFonts w:ascii="黑体" w:hAnsi="黑体" w:eastAsia="黑体" w:cs="Times New Roman"/>
          <w:sz w:val="32"/>
          <w:szCs w:val="32"/>
          <w:lang w:eastAsia="zh-CN"/>
        </w:rPr>
      </w:pPr>
      <w:r>
        <w:rPr>
          <w:rFonts w:ascii="黑体" w:hAnsi="黑体" w:eastAsia="黑体" w:cs="Times New Roman"/>
          <w:sz w:val="32"/>
          <w:szCs w:val="32"/>
          <w:lang w:eastAsia="zh-CN"/>
        </w:rPr>
        <w:t>第二部分部门决算情况说明</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一、收入支出决算总体情况说明</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二、收入决算情况说明</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三、支出决算情况说明</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四、财政拨款收入支出决算总体情况说明</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五、一般公共预算财政拨款支出决算情况说明</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（一）一般公共预算财政拨款支出决算总体情况</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（二）一般公共预算财政拨款支出决算结构情况</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（三）一般公共预算财政拨款支出决算具体情况</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六、一般公共预算财政拨款基本支出决算情况说明</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七、政府性基金预算财政拨款收入支出决算情况说明</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八、国有资本经营预算财政拨款收入支出决算情况说明</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九、财政拨款“三公”经费支出决算情况说明</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十、其他重要事项的情况说明</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（一）机关运行经费及公用经费支出情况</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（二）政府采购情况</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（三）国有资产占用情况说明</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十一、预算绩效的情况说明</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十二、其他需说明的事项</w:t>
      </w:r>
    </w:p>
    <w:p>
      <w:pPr>
        <w:spacing w:after="0" w:line="560" w:lineRule="exact"/>
        <w:rPr>
          <w:rFonts w:ascii="黑体" w:hAnsi="黑体" w:eastAsia="黑体" w:cs="Times New Roman"/>
          <w:sz w:val="32"/>
          <w:szCs w:val="32"/>
          <w:lang w:eastAsia="zh-CN"/>
        </w:rPr>
      </w:pPr>
      <w:r>
        <w:rPr>
          <w:rFonts w:ascii="黑体" w:hAnsi="黑体" w:eastAsia="黑体" w:cs="Times New Roman"/>
          <w:sz w:val="32"/>
          <w:szCs w:val="32"/>
          <w:lang w:eastAsia="zh-CN"/>
        </w:rPr>
        <w:t>第三部分专业名词解释</w:t>
      </w:r>
    </w:p>
    <w:p>
      <w:pPr>
        <w:spacing w:after="0" w:line="560" w:lineRule="exact"/>
        <w:rPr>
          <w:rFonts w:ascii="黑体" w:hAnsi="黑体" w:eastAsia="黑体" w:cs="Times New Roman"/>
          <w:sz w:val="32"/>
          <w:szCs w:val="32"/>
          <w:lang w:eastAsia="zh-CN"/>
        </w:rPr>
      </w:pPr>
      <w:r>
        <w:rPr>
          <w:rFonts w:ascii="黑体" w:hAnsi="黑体" w:eastAsia="黑体" w:cs="Times New Roman"/>
          <w:sz w:val="32"/>
          <w:szCs w:val="32"/>
          <w:lang w:eastAsia="zh-CN"/>
        </w:rPr>
        <w:t>第四部分部门决算报表（见附表）</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一、《收入支出决算总表》</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二、《收入决算表》</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三、《支出决算表》</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四、《财政拨款收入支出决算总表》</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五、《一般公共预算财政拨款支出决算表》</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六、《一般公共预算财政拨款基本支出决算表》</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七、《政府性基金预算财政拨款收入支出决算表》</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八、《国有资本经营预算财政拨款收入支出决算表》</w:t>
      </w:r>
    </w:p>
    <w:p>
      <w:pPr>
        <w:spacing w:after="0" w:line="56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九、《财政拨款“三公”经费支出决算表》</w:t>
      </w:r>
    </w:p>
    <w:p>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pPr>
        <w:spacing w:after="0" w:line="560" w:lineRule="exact"/>
        <w:jc w:val="center"/>
        <w:outlineLvl w:val="0"/>
        <w:rPr>
          <w:rFonts w:ascii="黑体" w:hAnsi="黑体" w:eastAsia="黑体" w:cs="Times New Roman"/>
          <w:sz w:val="32"/>
          <w:szCs w:val="32"/>
          <w:lang w:eastAsia="zh-CN"/>
        </w:rPr>
      </w:pPr>
      <w:r>
        <w:rPr>
          <w:rFonts w:ascii="黑体" w:hAnsi="黑体" w:eastAsia="黑体" w:cs="Times New Roman"/>
          <w:sz w:val="32"/>
          <w:szCs w:val="32"/>
          <w:lang w:eastAsia="zh-CN"/>
        </w:rPr>
        <w:t>第一部分单位概况</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一、主要职能</w:t>
      </w:r>
    </w:p>
    <w:p>
      <w:pPr>
        <w:pStyle w:val="25"/>
        <w:spacing w:line="560" w:lineRule="exact"/>
        <w:ind w:firstLine="640"/>
        <w:rPr>
          <w:rFonts w:ascii="Times New Roman" w:hAnsi="Times New Roman" w:eastAsia="仿宋_GB2312"/>
          <w:color w:val="000000"/>
          <w:sz w:val="32"/>
          <w:szCs w:val="32"/>
        </w:rPr>
      </w:pPr>
      <w:r>
        <w:rPr>
          <w:rFonts w:ascii="Times New Roman" w:hAnsi="Times New Roman" w:eastAsia="仿宋_GB2312"/>
          <w:color w:val="000000"/>
          <w:sz w:val="32"/>
          <w:szCs w:val="32"/>
        </w:rPr>
        <w:t>主要承担自治区发展改革系统干部的教育培训、宣传等工作，服务于全疆发改系统，负责组织开展发改系统经济、政治理论、公务员初任和经济热点、难点问题研讨及主题讲座培训。</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二、机构设置及人员情况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新疆维吾尔自治区发展和改革委员会</w:t>
      </w:r>
      <w:r>
        <w:rPr>
          <w:rFonts w:hint="eastAsia" w:ascii="Times New Roman" w:hAnsi="Times New Roman" w:eastAsia="仿宋_GB2312" w:cs="Times New Roman"/>
          <w:sz w:val="32"/>
          <w:szCs w:val="32"/>
          <w:lang w:eastAsia="zh-CN"/>
        </w:rPr>
        <w:t>宣传教育中心（原</w:t>
      </w:r>
      <w:r>
        <w:rPr>
          <w:rFonts w:ascii="Times New Roman" w:hAnsi="Times New Roman" w:eastAsia="仿宋_GB2312" w:cs="Times New Roman"/>
          <w:sz w:val="32"/>
          <w:szCs w:val="32"/>
          <w:lang w:eastAsia="zh-CN"/>
        </w:rPr>
        <w:t>干部培训中心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2024年度，实有人数56人，其中：在职人员29人，减少1人；离休人员1人，较上年无变化；退休人员26人，减少3人。</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新疆维吾尔自治区发展和改革委员会</w:t>
      </w:r>
      <w:r>
        <w:rPr>
          <w:rFonts w:hint="eastAsia" w:ascii="Times New Roman" w:hAnsi="Times New Roman" w:eastAsia="仿宋_GB2312" w:cs="Times New Roman"/>
          <w:sz w:val="32"/>
          <w:szCs w:val="32"/>
          <w:lang w:eastAsia="zh-CN"/>
        </w:rPr>
        <w:t>宣传教育中心（原</w:t>
      </w:r>
      <w:r>
        <w:rPr>
          <w:rFonts w:ascii="Times New Roman" w:hAnsi="Times New Roman" w:eastAsia="仿宋_GB2312" w:cs="Times New Roman"/>
          <w:sz w:val="32"/>
          <w:szCs w:val="32"/>
          <w:lang w:eastAsia="zh-CN"/>
        </w:rPr>
        <w:t>干部培训中心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无下属预算单位，下设4个处室，分别是：党建综合部、培训一部、培训二部、考试中心。</w:t>
      </w:r>
    </w:p>
    <w:p>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pPr>
        <w:spacing w:after="0" w:line="560" w:lineRule="exact"/>
        <w:jc w:val="center"/>
        <w:outlineLvl w:val="0"/>
        <w:rPr>
          <w:rFonts w:ascii="黑体" w:hAnsi="黑体" w:eastAsia="黑体" w:cs="Times New Roman"/>
          <w:sz w:val="32"/>
          <w:szCs w:val="32"/>
          <w:lang w:eastAsia="zh-CN"/>
        </w:rPr>
      </w:pPr>
      <w:r>
        <w:rPr>
          <w:rFonts w:ascii="黑体" w:hAnsi="黑体" w:eastAsia="黑体" w:cs="Times New Roman"/>
          <w:sz w:val="32"/>
          <w:szCs w:val="32"/>
          <w:lang w:eastAsia="zh-CN"/>
        </w:rPr>
        <w:t>第二部分部门决算情况说明</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一、收入支出决算总体情况说明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2024年度收入总计805.61万元，其中：本年收入合计713.48万元，使用非财政拨款结余（含专用结余）113.88万元，年初结转和结余-21.75万元。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2024年度支出总计805.61万元，其中：本年支出合计824.20万元，结余分配0.00万元，年末结转和结余-18.60万元。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收入支出总体与上年相比，增加11.30万元，增长1.42%，主要原因是：本年在职人员工资调增，社保、公积金基数调增，人员经费增加。</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二、收入决算情况说明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本年收入713.48万元，其中：财政拨款收入692.88万元,占97.11%；上级补助收入0.00万元,占0.00%；事业收入0.00万元，占0.00%；经营收入19.97万元,占2.80%；附属单位上缴收入0.00万元，占0.00%；其他收入0.63万元，占0.09%。</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三、支出决算情况说明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本年支出824.20万元，其中：基本支出693.51万元，占84.14%；项目支出113.88万元，占13.82%；上缴上级支出0.00万元，占0.00%；经营支出16.82万元，占2.04%；对附属单位补助支出0.00万元，占0.00%。</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四、财政拨款收入支出决算总体情况说明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2024年度财政拨款收入总计692.88万元，其中：年初财政拨款结转和结余0.00万元，本年财政拨款收入692.88万元。财政拨款支出总计692.88万元，其中：年末财政拨款结转和结余0.00万元，本年财政拨款支出692.88万元。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财政拨款收入支出总体与上年相比，增加45.68万元，增长7.06%，主要原因是：本年在职人员工资调增，社保、公积金基数调增，人员经费增加。与年初预算相比，年初预算数632.87万元，决算数692.88万元，预决算差异率9.48%，主要原因是：年中追加人员工资、社保、公积金基数调增部分资金，导致预决算存在差异。</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五、一般公共预算财政拨款支出决算情况说明</w:t>
      </w:r>
    </w:p>
    <w:p>
      <w:pPr>
        <w:spacing w:after="0" w:line="560" w:lineRule="exact"/>
        <w:ind w:firstLine="642" w:firstLineChars="200"/>
        <w:outlineLvl w:val="2"/>
        <w:rPr>
          <w:rFonts w:hint="eastAsia" w:ascii="楷体_GB2312" w:hAnsi="Times New Roman" w:eastAsia="楷体_GB2312" w:cs="Times New Roman"/>
          <w:sz w:val="32"/>
          <w:szCs w:val="32"/>
          <w:lang w:eastAsia="zh-CN"/>
        </w:rPr>
      </w:pPr>
      <w:r>
        <w:rPr>
          <w:rFonts w:hint="eastAsia" w:ascii="楷体_GB2312" w:hAnsi="Times New Roman" w:eastAsia="楷体_GB2312" w:cs="Times New Roman"/>
          <w:b/>
          <w:sz w:val="32"/>
          <w:szCs w:val="32"/>
          <w:lang w:eastAsia="zh-CN"/>
        </w:rPr>
        <w:t>（一）一般公共预算财政拨款支出决算总体情况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支出692.88万元，占本年支出合计的84.07%。与上年相比，增加45.68万元，增长7.06%，主要原因是：本年在职人员工资调增，社保、公积金基数调增，人员经费增加。与年初预算相比，年初预算数632.87万元，决算数692.88万元，预决算差异率9.48%，主要原因是：年中追加人员工资、社保、公积金基数调增部分资金，导致预决算存在差异。</w:t>
      </w:r>
    </w:p>
    <w:p>
      <w:pPr>
        <w:spacing w:after="0" w:line="560" w:lineRule="exact"/>
        <w:ind w:firstLine="642" w:firstLineChars="200"/>
        <w:outlineLvl w:val="2"/>
        <w:rPr>
          <w:rFonts w:hint="eastAsia" w:ascii="楷体_GB2312" w:hAnsi="Times New Roman" w:eastAsia="楷体_GB2312" w:cs="Times New Roman"/>
          <w:sz w:val="32"/>
          <w:szCs w:val="32"/>
          <w:lang w:eastAsia="zh-CN"/>
        </w:rPr>
      </w:pPr>
      <w:r>
        <w:rPr>
          <w:rFonts w:hint="eastAsia" w:ascii="楷体_GB2312" w:hAnsi="Times New Roman" w:eastAsia="楷体_GB2312" w:cs="Times New Roman"/>
          <w:b/>
          <w:sz w:val="32"/>
          <w:szCs w:val="32"/>
          <w:lang w:eastAsia="zh-CN"/>
        </w:rPr>
        <w:t>（二）一般公共预算财政拨款支出决算结构情况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1.一般公共服务支出（类）441.37万元，占63.70%。</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2.社会保障和就业支出（类）159.97万元，占23.09%。</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3.卫生健康支出（类）50.09万元，占7.23%。</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4.住房保障支出（类）41.45万元，占5.98%。</w:t>
      </w:r>
    </w:p>
    <w:p>
      <w:pPr>
        <w:spacing w:after="0" w:line="560" w:lineRule="exact"/>
        <w:ind w:firstLine="642" w:firstLineChars="200"/>
        <w:outlineLvl w:val="2"/>
        <w:rPr>
          <w:rFonts w:hint="eastAsia" w:ascii="楷体_GB2312" w:hAnsi="Times New Roman" w:eastAsia="楷体_GB2312" w:cs="Times New Roman"/>
          <w:sz w:val="32"/>
          <w:szCs w:val="32"/>
          <w:lang w:eastAsia="zh-CN"/>
        </w:rPr>
      </w:pPr>
      <w:r>
        <w:rPr>
          <w:rFonts w:hint="eastAsia" w:ascii="楷体_GB2312" w:hAnsi="Times New Roman" w:eastAsia="楷体_GB2312" w:cs="Times New Roman"/>
          <w:b/>
          <w:sz w:val="32"/>
          <w:szCs w:val="32"/>
          <w:lang w:eastAsia="zh-CN"/>
        </w:rPr>
        <w:t>（三）一般公共预算财政拨款支出决算具体情况</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一般公共服务支出（类）发展与改革事务（款）事业运行（项）：支出决算数为441.37万元，比上年决算增加15.71万元，增长3.69%，主要原因是：本年在职人员工资调增，导致相关人员经费较上年有所增加。</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社会保障和就业支出（类）行政事业单位养老支出（款）事业单位离退休（项）：支出决算数为104.70万元，比上年决算增加18.22万元，增长21.07%，主要原因是：本年增加退休人员基础绩效奖，退休费支出增加。</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机关事业单位基本养老保险缴费支出（项）：支出决算数为55.27万元，比上年决算增加4.43万元，增长8.71%，主要原因是：本年在职人员工资基数调增，养老缴费基数上涨，相应支出增加。</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卫生健康支出（类）行政事业单位医疗（款）事业单位医疗（项）：支出决算数为25.91万元，比上年决算增加2.08万元，增长8.73%，主要原因是：本年在职人员工资基数调增，医疗缴费基数上涨，相应支出增加。</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卫生健康支出（类）行政事业单位医疗（款）公务员医疗补助（项）：支出决算数为24.18万元，比上年决算增加1.94万元，增长8.72%，主要原因是：本年在职人员工资基数调增，医疗缴费基数上涨，相应支出增加。</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住房保障支出（类）住房改革支出（款）住房公积金（项）：支出决算数为41.45万元，比上年决算增加3.32万元，增长8.71%，主要原因是：本年在职人员工资基数调增，公积金缴费基数上涨，相应支出增加。</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基本支出692.88万元，其中：人员经费654.17万元，包括：基本工资、津贴补贴、奖金、绩效工资、机关事业单位基本养老保险缴费、职业年金缴费、职工基本医疗保险缴费、公务员医疗补助缴费、其他社会保障缴费、住房公积金、离休费、退休费、抚恤金和其他对个人和家庭的补助。</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公用经费38.71万元，包括：办公费、水费、电费、邮电费、取暖费、差旅费、工会经费、福利费和其他商品和服务支出。</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七、政府性基金预算财政拨款收入支出决算情况说明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本单位本年度无政府性基金预算财政拨款收入、支出及结转和结余，政府性基金预算财政拨款收入支出决算表为空表。</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八、国有资本经营预算财政拨款收入支出决算情况说明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本单位本年度无国有资本经营预算财政拨款收入、支出及结转和结余，国有资本经营预算财政拨款收入支出决算表为空表。</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九、财政拨款“三公”经费支出决算情况说明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三公”经费支出0.00万元，与上年相比无变化，主要原因是：2023年与2024年均未安排财政拨款“三公”经费支出。其中：因公出国（境）费支出0.00万元,占0.00%，与上年相比无变化，主要原因是：2023年与2024年均未安排因公出国（境）费支出；公务用车购置及运行维护费支出0.00万元，占0.00%，与上年相比无变化，主要原因是：2023年与2024年均未安排公务用车购置及运行维护费支出；公务接待费支出0.00万元，占0.00%，与上年相比无变化，主要原因是：2023年与2024年均未安排公务接待费支出。</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具体情况如下：</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因公出国（境）费支出0.00万元，开支内容包括本单位无因公出国（境）费。单位全年安排的因公出国（境）团组0个，因公出国（境）0人次。</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与公务用车保有量无差异。</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公务接待费0.00万元，开支内容包括本单位无公务接待费。单位全年安排的国内公务接待0批次，0人次。</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与全年预算相比，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tabs>
          <w:tab w:val="left" w:pos="5435"/>
        </w:tabs>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十、其他重要事项的情况说明</w:t>
      </w:r>
      <w:r>
        <w:rPr>
          <w:rFonts w:ascii="黑体" w:hAnsi="黑体" w:eastAsia="黑体" w:cs="Times New Roman"/>
          <w:sz w:val="32"/>
          <w:szCs w:val="32"/>
          <w:lang w:eastAsia="zh-CN"/>
        </w:rPr>
        <w:tab/>
      </w:r>
    </w:p>
    <w:p>
      <w:pPr>
        <w:spacing w:after="0" w:line="560" w:lineRule="exact"/>
        <w:ind w:firstLine="642" w:firstLineChars="200"/>
        <w:outlineLvl w:val="2"/>
        <w:rPr>
          <w:rFonts w:hint="eastAsia" w:ascii="楷体_GB2312" w:hAnsi="Times New Roman" w:eastAsia="楷体_GB2312" w:cs="Times New Roman"/>
          <w:sz w:val="32"/>
          <w:szCs w:val="32"/>
          <w:lang w:eastAsia="zh-CN"/>
        </w:rPr>
      </w:pPr>
      <w:r>
        <w:rPr>
          <w:rFonts w:hint="eastAsia" w:ascii="楷体_GB2312" w:hAnsi="Times New Roman" w:eastAsia="楷体_GB2312" w:cs="Times New Roman"/>
          <w:b/>
          <w:sz w:val="32"/>
          <w:szCs w:val="32"/>
          <w:lang w:eastAsia="zh-CN"/>
        </w:rPr>
        <w:t>（一）机关运行经费及公用经费支出情况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2024年度新疆维吾尔自治区发展和改革委员会</w:t>
      </w:r>
      <w:r>
        <w:rPr>
          <w:rFonts w:hint="eastAsia" w:ascii="Times New Roman" w:hAnsi="Times New Roman" w:eastAsia="仿宋_GB2312" w:cs="Times New Roman"/>
          <w:sz w:val="32"/>
          <w:szCs w:val="32"/>
          <w:lang w:eastAsia="zh-CN"/>
        </w:rPr>
        <w:t>宣传教育中心（原</w:t>
      </w:r>
      <w:r>
        <w:rPr>
          <w:rFonts w:ascii="Times New Roman" w:hAnsi="Times New Roman" w:eastAsia="仿宋_GB2312" w:cs="Times New Roman"/>
          <w:sz w:val="32"/>
          <w:szCs w:val="32"/>
          <w:lang w:eastAsia="zh-CN"/>
        </w:rPr>
        <w:t>干部培训中心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公用经费支出38.71万元，比上年增加0.31万元，增长0.81%，主要原因是：本年办公费支出增加，导致公用经费支出增加。</w:t>
      </w:r>
    </w:p>
    <w:p>
      <w:pPr>
        <w:spacing w:after="0" w:line="560" w:lineRule="exact"/>
        <w:ind w:firstLine="642" w:firstLineChars="200"/>
        <w:outlineLvl w:val="2"/>
        <w:rPr>
          <w:rFonts w:hint="eastAsia" w:ascii="楷体_GB2312" w:hAnsi="Times New Roman" w:eastAsia="楷体_GB2312" w:cs="Times New Roman"/>
          <w:sz w:val="32"/>
          <w:szCs w:val="32"/>
          <w:lang w:eastAsia="zh-CN"/>
        </w:rPr>
      </w:pPr>
      <w:r>
        <w:rPr>
          <w:rFonts w:hint="eastAsia" w:ascii="楷体_GB2312" w:hAnsi="Times New Roman" w:eastAsia="楷体_GB2312" w:cs="Times New Roman"/>
          <w:b/>
          <w:sz w:val="32"/>
          <w:szCs w:val="32"/>
          <w:lang w:eastAsia="zh-CN"/>
        </w:rPr>
        <w:t>（二）政府采购情况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2024年度政府采购支出总额1.60万元，其中：政府采购货物支出0.66万元、政府采购工程支出0.00万元、政府采购服务支出0.94万元。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授予中小企业合同金额1.60万元，占政府采购支出总额的100.00%，其中：授予小微企业合同金额1.60万元，占政府采购支出总额的100.00%。</w:t>
      </w:r>
    </w:p>
    <w:p>
      <w:pPr>
        <w:spacing w:after="0" w:line="560" w:lineRule="exact"/>
        <w:ind w:firstLine="642" w:firstLineChars="200"/>
        <w:outlineLvl w:val="2"/>
        <w:rPr>
          <w:rFonts w:hint="eastAsia" w:ascii="楷体_GB2312" w:hAnsi="Times New Roman" w:eastAsia="楷体_GB2312" w:cs="Times New Roman"/>
          <w:sz w:val="32"/>
          <w:szCs w:val="32"/>
          <w:lang w:eastAsia="zh-CN"/>
        </w:rPr>
      </w:pPr>
      <w:r>
        <w:rPr>
          <w:rFonts w:hint="eastAsia" w:ascii="楷体_GB2312" w:hAnsi="Times New Roman" w:eastAsia="楷体_GB2312" w:cs="Times New Roman"/>
          <w:b/>
          <w:sz w:val="32"/>
          <w:szCs w:val="32"/>
          <w:lang w:eastAsia="zh-CN"/>
        </w:rPr>
        <w:t>（三）国有资产占用情况说明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rPr>
        <w:t>截至2024年12月31日，房屋4,819.50平方米，价值536.72万元。</w:t>
      </w:r>
      <w:r>
        <w:rPr>
          <w:rFonts w:ascii="Times New Roman" w:hAnsi="Times New Roman" w:eastAsia="仿宋_GB2312" w:cs="Times New Roman"/>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十一、预算绩效的情况说明</w:t>
      </w:r>
    </w:p>
    <w:p>
      <w:pPr>
        <w:spacing w:after="0" w:line="560" w:lineRule="exact"/>
        <w:ind w:firstLine="640" w:firstLineChars="200"/>
        <w:jc w:val="both"/>
        <w:rPr>
          <w:rFonts w:ascii="Times New Roman" w:hAnsi="Times New Roman" w:eastAsia="仿宋_GB2312" w:cs="Times New Roman"/>
          <w:sz w:val="32"/>
          <w:szCs w:val="32"/>
          <w:highlight w:val="yellow"/>
          <w:lang w:eastAsia="zh-CN"/>
        </w:rPr>
      </w:pPr>
      <w:r>
        <w:rPr>
          <w:rFonts w:ascii="Times New Roman" w:hAnsi="Times New Roman" w:eastAsia="仿宋_GB2312" w:cs="Times New Roman"/>
          <w:sz w:val="32"/>
          <w:szCs w:val="32"/>
          <w:lang w:eastAsia="zh-CN"/>
        </w:rPr>
        <w:t>根据预算绩效管理要求，本单位2024年度预算绩效评价项目1个，全年预算数140.00万元，全年执行数130.69万元。预算绩效管理取得的成效：</w:t>
      </w:r>
      <w:r>
        <w:rPr>
          <w:rStyle w:val="15"/>
          <w:rFonts w:ascii="Times New Roman" w:hAnsi="Times New Roman" w:eastAsia="仿宋_GB2312" w:cs="Times New Roman"/>
          <w:b w:val="0"/>
          <w:spacing w:val="-4"/>
          <w:sz w:val="32"/>
          <w:szCs w:val="32"/>
          <w:lang w:eastAsia="zh-CN"/>
        </w:rPr>
        <w:t>一是加强预算和项目全生命周期管理，动态追踪资金使用情况，确保预算执行的规范性和透明度。二是深化预算绩效管理，通过绩效目标设定、运行监控和结果应用，强化资金使用的效益导向。三是科学设定绩效目标</w:t>
      </w:r>
      <w:r>
        <w:rPr>
          <w:rFonts w:ascii="Times New Roman" w:hAnsi="Times New Roman" w:eastAsia="仿宋_GB2312" w:cs="Times New Roman"/>
          <w:sz w:val="32"/>
          <w:szCs w:val="32"/>
          <w:lang w:eastAsia="zh-CN"/>
        </w:rPr>
        <w:t>。发现的问题及原因：</w:t>
      </w:r>
      <w:r>
        <w:rPr>
          <w:rStyle w:val="15"/>
          <w:rFonts w:ascii="Times New Roman" w:hAnsi="Times New Roman" w:eastAsia="仿宋_GB2312" w:cs="Times New Roman"/>
          <w:b w:val="0"/>
          <w:spacing w:val="-4"/>
          <w:sz w:val="32"/>
          <w:szCs w:val="32"/>
          <w:lang w:eastAsia="zh-CN"/>
        </w:rPr>
        <w:t>一是缺少带着问题去评价的意识。二是现场评价的工作量少，后续效益评价具体措施和方法较少</w:t>
      </w:r>
      <w:r>
        <w:rPr>
          <w:rFonts w:ascii="Times New Roman" w:hAnsi="Times New Roman" w:eastAsia="仿宋_GB2312" w:cs="Times New Roman"/>
          <w:sz w:val="32"/>
          <w:szCs w:val="32"/>
          <w:lang w:eastAsia="zh-CN"/>
        </w:rPr>
        <w:t>。下一步改进措施：</w:t>
      </w:r>
      <w:r>
        <w:rPr>
          <w:rStyle w:val="15"/>
          <w:rFonts w:ascii="Times New Roman" w:hAnsi="Times New Roman" w:eastAsia="仿宋_GB2312" w:cs="Times New Roman"/>
          <w:b w:val="0"/>
          <w:spacing w:val="-4"/>
          <w:sz w:val="32"/>
          <w:szCs w:val="32"/>
          <w:lang w:eastAsia="zh-CN"/>
        </w:rPr>
        <w:t>加强绩效管理重视程度，定期组织绩效管理培训。项目评价过程中进一步引入第三方评价机构，对部门自我审定时存在的问题进行指导，进一步破除自我审定的局限性，同时查漏补缺</w:t>
      </w:r>
      <w:r>
        <w:rPr>
          <w:rFonts w:ascii="Times New Roman" w:hAnsi="Times New Roman" w:eastAsia="仿宋_GB2312" w:cs="Times New Roman"/>
          <w:sz w:val="32"/>
          <w:szCs w:val="32"/>
          <w:lang w:eastAsia="zh-CN"/>
        </w:rPr>
        <w:t>。具体附项目支出绩效自评表。</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十二、其他需说明的事项</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本单位无其他需说明的事项。</w:t>
      </w:r>
    </w:p>
    <w:p>
      <w:pPr>
        <w:spacing w:after="0" w:line="560" w:lineRule="exact"/>
        <w:ind w:firstLine="640" w:firstLineChars="200"/>
        <w:rPr>
          <w:rFonts w:ascii="Times New Roman" w:hAnsi="Times New Roman" w:eastAsia="仿宋_GB2312" w:cs="Times New Roman"/>
          <w:sz w:val="32"/>
          <w:szCs w:val="32"/>
          <w:lang w:eastAsia="zh-CN"/>
        </w:rPr>
      </w:pPr>
    </w:p>
    <w:p>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pPr>
        <w:spacing w:after="0" w:line="560" w:lineRule="exact"/>
        <w:jc w:val="center"/>
        <w:outlineLvl w:val="0"/>
        <w:rPr>
          <w:rFonts w:ascii="黑体" w:hAnsi="黑体" w:eastAsia="黑体" w:cs="Times New Roman"/>
          <w:sz w:val="32"/>
          <w:szCs w:val="32"/>
          <w:lang w:eastAsia="zh-CN"/>
        </w:rPr>
      </w:pPr>
      <w:r>
        <w:rPr>
          <w:rFonts w:ascii="黑体" w:hAnsi="黑体" w:eastAsia="黑体" w:cs="Times New Roman"/>
          <w:sz w:val="32"/>
          <w:szCs w:val="32"/>
          <w:lang w:eastAsia="zh-CN"/>
        </w:rPr>
        <w:t>第三部分专业名词解释</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一、财政拨款收入：</w:t>
      </w:r>
      <w:r>
        <w:rPr>
          <w:rFonts w:ascii="Times New Roman" w:hAnsi="Times New Roman" w:eastAsia="仿宋_GB2312" w:cs="Times New Roman"/>
          <w:sz w:val="32"/>
          <w:szCs w:val="32"/>
          <w:lang w:eastAsia="zh-CN"/>
        </w:rPr>
        <w:t>指同级财政当年拨付的资金。</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二、上级补助收入：</w:t>
      </w:r>
      <w:r>
        <w:rPr>
          <w:rFonts w:ascii="Times New Roman" w:hAnsi="Times New Roman" w:eastAsia="仿宋_GB2312" w:cs="Times New Roman"/>
          <w:sz w:val="32"/>
          <w:szCs w:val="32"/>
          <w:lang w:eastAsia="zh-CN"/>
        </w:rPr>
        <w:t>指事业单位从主管部门和上级单位取得的非财政补助收入。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三、事业收入：</w:t>
      </w:r>
      <w:r>
        <w:rPr>
          <w:rFonts w:ascii="Times New Roman" w:hAnsi="Times New Roman" w:eastAsia="仿宋_GB2312" w:cs="Times New Roman"/>
          <w:sz w:val="32"/>
          <w:szCs w:val="32"/>
          <w:lang w:eastAsia="zh-CN"/>
        </w:rPr>
        <w:t>指事业单位开展专业业务活动及其辅助活动所取得的收入。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四、经营收入：</w:t>
      </w:r>
      <w:r>
        <w:rPr>
          <w:rFonts w:ascii="Times New Roman" w:hAnsi="Times New Roman" w:eastAsia="仿宋_GB2312" w:cs="Times New Roman"/>
          <w:sz w:val="32"/>
          <w:szCs w:val="32"/>
          <w:lang w:eastAsia="zh-CN"/>
        </w:rPr>
        <w:t>指事业单位在专业业务活动及其辅助活动之外开展非独立核算经营活动取得的收入。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五、附属单位上缴收入：</w:t>
      </w:r>
      <w:r>
        <w:rPr>
          <w:rFonts w:ascii="Times New Roman" w:hAnsi="Times New Roman" w:eastAsia="仿宋_GB2312" w:cs="Times New Roman"/>
          <w:sz w:val="32"/>
          <w:szCs w:val="32"/>
          <w:lang w:eastAsia="zh-CN"/>
        </w:rPr>
        <w:t>指事业单位附属的独立核算单位按有关规定上缴的收入。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六、其他收入：</w:t>
      </w:r>
      <w:r>
        <w:rPr>
          <w:rFonts w:ascii="Times New Roman" w:hAnsi="Times New Roman" w:eastAsia="仿宋_GB2312" w:cs="Times New Roman"/>
          <w:sz w:val="32"/>
          <w:szCs w:val="32"/>
          <w:lang w:eastAsia="zh-CN"/>
        </w:rPr>
        <w:t>指除上述“财政拨款收入”、“事业收入”、“经营收入”、“附属单位上缴收入”等之外取得的收入。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七、年初结转和结余：</w:t>
      </w:r>
      <w:r>
        <w:rPr>
          <w:rFonts w:ascii="Times New Roman" w:hAnsi="Times New Roman" w:eastAsia="仿宋_GB2312" w:cs="Times New Roman"/>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八、年末结转和结余：</w:t>
      </w:r>
      <w:r>
        <w:rPr>
          <w:rFonts w:ascii="Times New Roman" w:hAnsi="Times New Roman" w:eastAsia="仿宋_GB2312" w:cs="Times New Roman"/>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九、基本支出：</w:t>
      </w:r>
      <w:r>
        <w:rPr>
          <w:rFonts w:ascii="Times New Roman" w:hAnsi="Times New Roman" w:eastAsia="仿宋_GB2312" w:cs="Times New Roman"/>
          <w:sz w:val="32"/>
          <w:szCs w:val="32"/>
          <w:lang w:eastAsia="zh-CN"/>
        </w:rPr>
        <w:t>指为保障机构正常运转、完成日常工作任务而发生的人员支出和公用支出。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十、项目支出：</w:t>
      </w:r>
      <w:r>
        <w:rPr>
          <w:rFonts w:ascii="Times New Roman" w:hAnsi="Times New Roman" w:eastAsia="仿宋_GB2312" w:cs="Times New Roman"/>
          <w:sz w:val="32"/>
          <w:szCs w:val="32"/>
          <w:lang w:eastAsia="zh-CN"/>
        </w:rPr>
        <w:t>指在基本支出之外为完成特定行政任务和事业发展目标所发生的支出。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十一、经营支出：</w:t>
      </w:r>
      <w:r>
        <w:rPr>
          <w:rFonts w:ascii="Times New Roman" w:hAnsi="Times New Roman" w:eastAsia="仿宋_GB2312" w:cs="Times New Roman"/>
          <w:sz w:val="32"/>
          <w:szCs w:val="32"/>
          <w:lang w:eastAsia="zh-CN"/>
        </w:rPr>
        <w:t>指事业单位在专业业务活动及其辅助活动之外开展非独立核算经营活动发生的支出。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十二、对附属单位补助支出：</w:t>
      </w:r>
      <w:r>
        <w:rPr>
          <w:rFonts w:ascii="Times New Roman" w:hAnsi="Times New Roman" w:eastAsia="仿宋_GB2312" w:cs="Times New Roman"/>
          <w:sz w:val="32"/>
          <w:szCs w:val="32"/>
          <w:lang w:eastAsia="zh-CN"/>
        </w:rPr>
        <w:t>指事业单位发生的用非财政预算资金对附属单位的补助支出。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十三、“三公”经费：</w:t>
      </w:r>
      <w:r>
        <w:rPr>
          <w:rFonts w:ascii="Times New Roman" w:hAnsi="Times New Roman" w:eastAsia="仿宋_GB2312" w:cs="Times New Roman"/>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十四、机关运行经费：</w:t>
      </w:r>
      <w:r>
        <w:rPr>
          <w:rFonts w:ascii="Times New Roman" w:hAnsi="Times New Roman" w:eastAsia="仿宋_GB2312" w:cs="Times New Roman"/>
          <w:sz w:val="32"/>
          <w:szCs w:val="32"/>
          <w:lang w:eastAsia="zh-CN"/>
        </w:rPr>
        <w:t>行政单位和参照公务员法管理的事业单位财政拨款基本支出中的公用经费支出。</w:t>
      </w:r>
    </w:p>
    <w:p>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pPr>
        <w:spacing w:after="0" w:line="560" w:lineRule="exact"/>
        <w:jc w:val="center"/>
        <w:outlineLvl w:val="0"/>
        <w:rPr>
          <w:rFonts w:ascii="黑体" w:hAnsi="黑体" w:eastAsia="黑体" w:cs="Times New Roman"/>
          <w:sz w:val="32"/>
          <w:szCs w:val="32"/>
          <w:lang w:eastAsia="zh-CN"/>
        </w:rPr>
      </w:pPr>
      <w:r>
        <w:rPr>
          <w:rFonts w:ascii="黑体" w:hAnsi="黑体" w:eastAsia="黑体" w:cs="Times New Roman"/>
          <w:sz w:val="32"/>
          <w:szCs w:val="32"/>
          <w:lang w:eastAsia="zh-CN"/>
        </w:rPr>
        <w:t>第四部分部门决算报表（见附表）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九、《财政拨款“三公”经费支出决算表》</w:t>
      </w:r>
    </w:p>
    <w:p>
      <w:pPr>
        <w:bidi w:val="0"/>
        <w:rPr>
          <w:rFonts w:asciiTheme="minorHAnsi" w:hAnsiTheme="minorHAnsi" w:eastAsiaTheme="minorHAnsi" w:cstheme="minorBidi"/>
          <w:sz w:val="22"/>
          <w:szCs w:val="22"/>
          <w:lang w:val="en-US" w:eastAsia="zh-CN" w:bidi="ar-SA"/>
        </w:rPr>
      </w:pPr>
    </w:p>
    <w:p>
      <w:pPr>
        <w:bidi w:val="0"/>
        <w:rPr>
          <w:lang w:val="en-US" w:eastAsia="zh-CN"/>
        </w:rPr>
      </w:pPr>
    </w:p>
    <w:p>
      <w:pPr>
        <w:bidi w:val="0"/>
        <w:rPr>
          <w:lang w:val="en-US" w:eastAsia="zh-CN"/>
        </w:rPr>
      </w:pPr>
    </w:p>
    <w:p>
      <w:pPr>
        <w:bidi w:val="0"/>
        <w:rPr>
          <w:lang w:val="en-US" w:eastAsia="zh-CN"/>
        </w:rPr>
      </w:pPr>
    </w:p>
    <w:p>
      <w:pPr>
        <w:tabs>
          <w:tab w:val="left" w:pos="6324"/>
        </w:tabs>
        <w:bidi w:val="0"/>
        <w:jc w:val="left"/>
        <w:rPr>
          <w:lang w:val="en-US" w:eastAsia="zh-CN"/>
        </w:rPr>
      </w:pPr>
      <w:r>
        <w:rPr>
          <w:rFonts w:hint="eastAsia"/>
          <w:lang w:val="en-US" w:eastAsia="zh-CN"/>
        </w:rPr>
        <w:tab/>
      </w:r>
      <w:bookmarkStart w:id="0" w:name="_GoBack"/>
      <w:bookmarkEnd w:id="0"/>
    </w:p>
    <w:sectPr>
      <w:footerReference r:id="rId5" w:type="default"/>
      <w:pgSz w:w="11907" w:h="16839"/>
      <w:pgMar w:top="1440" w:right="1800" w:bottom="1440" w:left="1800" w:header="720" w:footer="720" w:gutter="0"/>
      <w:pgNumType w:fmt="numberInDash"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2049" o:spid="_x0000_s2049" o:spt="202" type="#_x0000_t202" style="position:absolute;left:0pt;margin-left:397.45pt;margin-top:-0.75pt;height:22.8pt;width:144pt;mso-position-horizontal-relative:margin;mso-wrap-style:none;z-index:251659264;mso-width-relative:page;mso-height-relative:page;" filled="f" stroked="f" coordsize="21600,21600">
          <v:path/>
          <v:fill on="f" focussize="0,0"/>
          <v:stroke on="f"/>
          <v:imagedata o:title=""/>
          <o:lock v:ext="edit" aspectratio="f"/>
          <v:textbox inset="0mm,0mm,0mm,0mm">
            <w:txbxContent>
              <w:p>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noPunctuationKerning w:val="1"/>
  <w:characterSpacingControl w:val="doNotCompress"/>
  <w:hdrShapeDefaults>
    <o:shapelayout v:ext="edit">
      <o:idmap v:ext="edit" data="2"/>
    </o:shapelayout>
  </w:hdrShapeDefault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2235C9"/>
    <w:rsid w:val="000A134F"/>
    <w:rsid w:val="002235C9"/>
    <w:rsid w:val="003675B2"/>
    <w:rsid w:val="0042174D"/>
    <w:rsid w:val="00980B42"/>
    <w:rsid w:val="0C6A5B63"/>
    <w:rsid w:val="22D9307F"/>
    <w:rsid w:val="34313648"/>
    <w:rsid w:val="529221C0"/>
    <w:rsid w:val="5D3E3088"/>
    <w:rsid w:val="76680B61"/>
    <w:rsid w:val="FD9F1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semiHidden/>
    <w:unhideWhenUsed/>
    <w:uiPriority w:val="99"/>
    <w:pPr>
      <w:tabs>
        <w:tab w:val="center" w:pos="4153"/>
        <w:tab w:val="right" w:pos="8306"/>
      </w:tabs>
      <w:snapToGrid w:val="0"/>
      <w:jc w:val="left"/>
    </w:pPr>
    <w:rPr>
      <w:sz w:val="18"/>
    </w:rPr>
  </w:style>
  <w:style w:type="paragraph" w:styleId="9">
    <w:name w:val="header"/>
    <w:basedOn w:val="1"/>
    <w:link w:val="18"/>
    <w:unhideWhenUsed/>
    <w:qFormat/>
    <w:uiPriority w:val="99"/>
    <w:pPr>
      <w:tabs>
        <w:tab w:val="center" w:pos="4680"/>
        <w:tab w:val="right" w:pos="9360"/>
      </w:tabs>
    </w:pPr>
  </w:style>
  <w:style w:type="paragraph" w:styleId="10">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basedOn w:val="14"/>
    <w:qFormat/>
    <w:uiPriority w:val="0"/>
    <w:rPr>
      <w:b/>
      <w:bCs/>
    </w:rPr>
  </w:style>
  <w:style w:type="character" w:styleId="16">
    <w:name w:val="Emphasis"/>
    <w:basedOn w:val="14"/>
    <w:qFormat/>
    <w:uiPriority w:val="20"/>
    <w:rPr>
      <w:i/>
      <w:iCs/>
    </w:rPr>
  </w:style>
  <w:style w:type="character" w:styleId="17">
    <w:name w:val="Hyperlink"/>
    <w:basedOn w:val="14"/>
    <w:unhideWhenUsed/>
    <w:qFormat/>
    <w:uiPriority w:val="99"/>
    <w:rPr>
      <w:color w:val="0000FF" w:themeColor="hyperlink"/>
      <w:u w:val="single"/>
    </w:rPr>
  </w:style>
  <w:style w:type="character" w:customStyle="1" w:styleId="18">
    <w:name w:val="页眉 Char"/>
    <w:basedOn w:val="14"/>
    <w:link w:val="9"/>
    <w:qFormat/>
    <w:uiPriority w:val="99"/>
  </w:style>
  <w:style w:type="character" w:customStyle="1" w:styleId="19">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paragraph" w:styleId="25">
    <w:name w:val="List Paragraph"/>
    <w:basedOn w:val="1"/>
    <w:qFormat/>
    <w:uiPriority w:val="0"/>
    <w:pPr>
      <w:widowControl w:val="0"/>
      <w:spacing w:after="0" w:line="240" w:lineRule="auto"/>
      <w:ind w:firstLine="420" w:firstLineChars="200"/>
      <w:jc w:val="both"/>
    </w:pPr>
    <w:rPr>
      <w:rFonts w:ascii="Calibri" w:hAnsi="Calibri" w:eastAsia="宋体" w:cs="Times New Roman"/>
      <w:kern w:val="2"/>
      <w:sz w:val="21"/>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875</Words>
  <Characters>4988</Characters>
  <Lines>41</Lines>
  <Paragraphs>11</Paragraphs>
  <TotalTime>0</TotalTime>
  <ScaleCrop>false</ScaleCrop>
  <LinksUpToDate>false</LinksUpToDate>
  <CharactersWithSpaces>5852</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2025-08-18T16:19:00Z</dcterms:created>
  <dc:creator>admin</dc:creator>
  <cp:lastModifiedBy>fgw</cp:lastModifiedBy>
  <dcterms:modified xsi:type="dcterms:W3CDTF">2025-08-26T18:22:50Z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eyJoZGlkIjoiZTM3ZDYwNjg1ZjU0OWUzODg2NDlmOWVjNTUxNzAxMzIifQ==</vt:lpwstr>
  </property>
  <property fmtid="{D5CDD505-2E9C-101B-9397-08002B2CF9AE}" pid="3" name="KSOProductBuildVer">
    <vt:lpwstr>2052-11.8.2.11958</vt:lpwstr>
  </property>
  <property fmtid="{D5CDD505-2E9C-101B-9397-08002B2CF9AE}" pid="4" name="ICV">
    <vt:lpwstr>52126236DD3246EEA694462CBE2ECAA7_12</vt:lpwstr>
  </property>
</Properties>
</file>