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ascii="宋体" w:eastAsia="黑体"/>
          <w:sz w:val="44"/>
          <w:szCs w:val="44"/>
          <w:lang w:eastAsia="zh-CN"/>
        </w:rPr>
      </w:pPr>
      <w:r>
        <w:rPr>
          <w:rFonts w:ascii="宋体" w:eastAsia="黑体"/>
          <w:sz w:val="44"/>
          <w:szCs w:val="44"/>
          <w:lang w:eastAsia="zh-CN"/>
        </w:rPr>
        <w:t>新疆维吾尔自治区发展和改革委员会</w:t>
      </w:r>
    </w:p>
    <w:p>
      <w:pPr>
        <w:spacing w:after="0" w:line="240" w:lineRule="auto"/>
        <w:jc w:val="center"/>
        <w:outlineLvl w:val="0"/>
        <w:rPr>
          <w:rFonts w:ascii="黑体" w:eastAsia="黑体"/>
          <w:sz w:val="44"/>
          <w:szCs w:val="44"/>
          <w:lang w:eastAsia="zh-CN"/>
        </w:rPr>
      </w:pPr>
      <w:r>
        <w:rPr>
          <w:rFonts w:ascii="宋体" w:eastAsia="黑体"/>
          <w:sz w:val="44"/>
          <w:szCs w:val="44"/>
          <w:lang w:eastAsia="zh-CN"/>
        </w:rPr>
        <w:t>机关服务中心</w:t>
      </w:r>
      <w:r>
        <w:rPr>
          <w:rFonts w:ascii="黑体" w:eastAsia="黑体"/>
          <w:sz w:val="44"/>
          <w:szCs w:val="44"/>
          <w:lang w:eastAsia="zh-CN"/>
        </w:rPr>
        <w:t>2024年度部门决算</w:t>
      </w:r>
    </w:p>
    <w:p>
      <w:pPr>
        <w:spacing w:after="0" w:line="240" w:lineRule="auto"/>
        <w:jc w:val="center"/>
        <w:outlineLvl w:val="0"/>
        <w:rPr>
          <w:rFonts w:ascii="宋体" w:eastAsia="黑体"/>
          <w:sz w:val="44"/>
          <w:szCs w:val="44"/>
          <w:lang w:eastAsia="zh-CN"/>
        </w:rPr>
      </w:pPr>
      <w:r>
        <w:rPr>
          <w:rFonts w:ascii="黑体" w:eastAsia="黑体"/>
          <w:sz w:val="44"/>
          <w:szCs w:val="44"/>
          <w:lang w:eastAsia="zh-CN"/>
        </w:rPr>
        <w:t>公开说明</w:t>
      </w:r>
    </w:p>
    <w:p>
      <w:pPr>
        <w:spacing w:after="0" w:line="560" w:lineRule="exact"/>
        <w:jc w:val="center"/>
        <w:rPr>
          <w:rFonts w:hint="eastAsia" w:ascii="黑体" w:hAnsi="黑体" w:eastAsia="黑体"/>
          <w:b/>
          <w:sz w:val="32"/>
          <w:szCs w:val="32"/>
          <w:lang w:eastAsia="zh-CN"/>
        </w:rPr>
        <w:sectPr>
          <w:headerReference r:id="rId5" w:type="default"/>
          <w:footerReference r:id="rId6" w:type="default"/>
          <w:pgSz w:w="11907" w:h="16839"/>
          <w:pgMar w:top="2098" w:right="1531" w:bottom="1985" w:left="1531" w:header="720" w:footer="720" w:gutter="0"/>
          <w:pgNumType w:fmt="numberInDash"/>
          <w:cols w:space="720" w:num="1"/>
          <w:docGrid w:linePitch="299" w:charSpace="0"/>
        </w:sectPr>
      </w:pPr>
    </w:p>
    <w:p>
      <w:pPr>
        <w:spacing w:after="0" w:line="560" w:lineRule="exact"/>
        <w:jc w:val="center"/>
        <w:rPr>
          <w:rFonts w:ascii="黑体" w:hAnsi="黑体" w:eastAsia="黑体"/>
          <w:sz w:val="32"/>
          <w:szCs w:val="32"/>
          <w:lang w:eastAsia="zh-CN"/>
        </w:rPr>
      </w:pPr>
      <w:r>
        <w:rPr>
          <w:rFonts w:hint="eastAsia" w:ascii="黑体" w:hAnsi="黑体" w:eastAsia="黑体"/>
          <w:b/>
          <w:sz w:val="32"/>
          <w:szCs w:val="32"/>
          <w:lang w:eastAsia="zh-CN"/>
        </w:rPr>
        <w:t>目录</w:t>
      </w:r>
    </w:p>
    <w:p>
      <w:pPr>
        <w:spacing w:after="0" w:line="560" w:lineRule="exact"/>
        <w:rPr>
          <w:rFonts w:ascii="黑体" w:hAnsi="黑体" w:eastAsia="黑体"/>
          <w:sz w:val="32"/>
          <w:szCs w:val="32"/>
          <w:lang w:eastAsia="zh-CN"/>
        </w:rPr>
      </w:pPr>
      <w:r>
        <w:rPr>
          <w:rFonts w:hint="eastAsia" w:ascii="黑体" w:hAnsi="黑体" w:eastAsia="黑体"/>
          <w:sz w:val="32"/>
          <w:szCs w:val="32"/>
          <w:lang w:eastAsia="zh-CN"/>
        </w:rPr>
        <w:t>第一部分单位概况</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一、主要职能</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二、机构设置及人员情况</w:t>
      </w:r>
    </w:p>
    <w:p>
      <w:pPr>
        <w:spacing w:after="0" w:line="560" w:lineRule="exact"/>
        <w:rPr>
          <w:rFonts w:ascii="黑体" w:hAnsi="黑体" w:eastAsia="黑体"/>
          <w:sz w:val="32"/>
          <w:szCs w:val="32"/>
          <w:lang w:eastAsia="zh-CN"/>
        </w:rPr>
      </w:pPr>
      <w:r>
        <w:rPr>
          <w:rFonts w:hint="eastAsia" w:ascii="黑体" w:hAnsi="黑体" w:eastAsia="黑体"/>
          <w:sz w:val="32"/>
          <w:szCs w:val="32"/>
          <w:lang w:eastAsia="zh-CN"/>
        </w:rPr>
        <w:t>第二部分部门决算情况说明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一、收入支出决算总体情况说明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二、收入决算情况说明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三、支出决算情况说明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四、财政拨款收入支出决算总体情况说明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五、一般公共预算财政拨款支出决算情况说明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（一）一般公共预算财政拨款支出决算总体情况</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（二）一般公共预算财政拨款支出决算结构情况</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（三）一般公共预算财政拨款支出决算具体情况</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六、一般公共预算财政拨款基本支出决算情况说明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七、政府性基金预算财政拨款收入支出决算情况说明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八、国有资本经营预算财政拨款收入支出决算情况说明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九、财政拨款“三公”经费支出决算情况说明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十、其他重要事项的情况说明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（一）机关运行经费及公用经费支出情况</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（二）政府采购情况</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（三）国有资产占用情况说明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十一、预算绩效的情况说明</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十二、其他需说明的事项</w:t>
      </w:r>
    </w:p>
    <w:p>
      <w:pPr>
        <w:spacing w:after="0" w:line="560" w:lineRule="exact"/>
        <w:rPr>
          <w:rFonts w:ascii="黑体" w:hAnsi="黑体" w:eastAsia="黑体"/>
          <w:sz w:val="32"/>
          <w:szCs w:val="32"/>
          <w:lang w:eastAsia="zh-CN"/>
        </w:rPr>
      </w:pPr>
      <w:r>
        <w:rPr>
          <w:rFonts w:hint="eastAsia" w:ascii="黑体" w:hAnsi="黑体" w:eastAsia="黑体"/>
          <w:sz w:val="32"/>
          <w:szCs w:val="32"/>
          <w:lang w:eastAsia="zh-CN"/>
        </w:rPr>
        <w:t>第三部分专业名词解释</w:t>
      </w:r>
    </w:p>
    <w:p>
      <w:pPr>
        <w:spacing w:after="0" w:line="560" w:lineRule="exact"/>
        <w:rPr>
          <w:rFonts w:ascii="黑体" w:hAnsi="黑体" w:eastAsia="黑体"/>
          <w:sz w:val="32"/>
          <w:szCs w:val="32"/>
          <w:lang w:eastAsia="zh-CN"/>
        </w:rPr>
      </w:pPr>
      <w:r>
        <w:rPr>
          <w:rFonts w:hint="eastAsia" w:ascii="黑体" w:hAnsi="黑体" w:eastAsia="黑体"/>
          <w:sz w:val="32"/>
          <w:szCs w:val="32"/>
          <w:lang w:eastAsia="zh-CN"/>
        </w:rPr>
        <w:t>第四部分部门决算报表（见附表）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一、《收入支出决算总表》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二、《收入决算表》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三、《支出决算表》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四、《财政拨款收入支出决算总表》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五、《一般公共预算财政拨款支出决算表》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六、《一般公共预算财政拨款基本支出决算表》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七、《政府性基金预算财政拨款收入支出决算表》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八、《国有资本经营预算财政拨款收入支出决算表》</w:t>
      </w:r>
    </w:p>
    <w:p>
      <w:pPr>
        <w:spacing w:after="0" w:line="560" w:lineRule="exact"/>
        <w:rPr>
          <w:rFonts w:ascii="仿宋_GB2312" w:eastAsia="仿宋_GB2312"/>
          <w:sz w:val="32"/>
          <w:szCs w:val="32"/>
          <w:lang w:eastAsia="zh-CN"/>
        </w:rPr>
      </w:pPr>
      <w:r>
        <w:rPr>
          <w:rFonts w:hint="eastAsia" w:ascii="仿宋_GB2312" w:eastAsia="仿宋_GB2312"/>
          <w:sz w:val="32"/>
          <w:szCs w:val="32"/>
          <w:lang w:eastAsia="zh-CN"/>
        </w:rPr>
        <w:t>九、《财政拨款“三公”经费支出决算表》</w:t>
      </w:r>
    </w:p>
    <w:p>
      <w:pPr>
        <w:spacing w:line="560" w:lineRule="exact"/>
        <w:rPr>
          <w:rFonts w:ascii="仿宋_GB2312" w:eastAsia="仿宋_GB2312"/>
          <w:lang w:eastAsia="zh-CN"/>
        </w:rPr>
      </w:pPr>
      <w:r>
        <w:rPr>
          <w:rFonts w:hint="eastAsia" w:ascii="仿宋_GB2312" w:eastAsia="仿宋_GB2312"/>
          <w:sz w:val="0"/>
          <w:szCs w:val="0"/>
          <w:lang w:eastAsia="zh-CN"/>
        </w:rPr>
        <w:br w:type="page"/>
      </w:r>
    </w:p>
    <w:p>
      <w:pPr>
        <w:spacing w:after="0" w:line="560" w:lineRule="exact"/>
        <w:jc w:val="center"/>
        <w:outlineLvl w:val="0"/>
        <w:rPr>
          <w:rFonts w:ascii="黑体" w:hAnsi="黑体" w:eastAsia="黑体"/>
          <w:sz w:val="32"/>
          <w:szCs w:val="32"/>
          <w:lang w:eastAsia="zh-CN"/>
        </w:rPr>
      </w:pPr>
      <w:r>
        <w:rPr>
          <w:rFonts w:hint="eastAsia" w:ascii="黑体" w:hAnsi="黑体" w:eastAsia="黑体"/>
          <w:sz w:val="32"/>
          <w:szCs w:val="32"/>
          <w:lang w:eastAsia="zh-CN"/>
        </w:rPr>
        <w:t>第一部分单位概况</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一、主要职能</w:t>
      </w:r>
    </w:p>
    <w:p>
      <w:pPr>
        <w:spacing w:line="56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eastAsia="zh-CN" w:bidi="ar"/>
        </w:rPr>
        <w:t>主要负责全委的机关后勤保障工作，针对我委办公楼、公房等基础设施陈旧，频繁出现跑冒滴漏现象，对委内职工反映集中的问题统筹安排，优先将必须更新及维修维护的水、电、暖气管道、阀门、公共照明等项目进行零星更换和维修；实施维护委内办公区花草绿化、办公区及职工餐厅垃圾清运、办公区下水疏通清理等物业服务；有效解决办公及公共住宅的环境，不断提升全委干部职工办公及生活环境的满意度。</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二、机构设置及人员情况</w:t>
      </w:r>
    </w:p>
    <w:p>
      <w:pPr>
        <w:spacing w:after="0" w:line="560" w:lineRule="exact"/>
        <w:ind w:firstLine="640" w:firstLineChars="200"/>
        <w:rPr>
          <w:rFonts w:ascii="仿宋_GB2312" w:hAnsi="仿宋_GB2312" w:eastAsia="仿宋_GB2312" w:cs="仿宋_GB2312"/>
          <w:color w:val="000000"/>
          <w:sz w:val="32"/>
          <w:szCs w:val="32"/>
          <w:lang w:eastAsia="zh-CN" w:bidi="ar"/>
        </w:rPr>
      </w:pPr>
      <w:r>
        <w:rPr>
          <w:rFonts w:hint="eastAsia" w:ascii="仿宋_GB2312" w:hAnsi="仿宋_GB2312" w:eastAsia="仿宋_GB2312" w:cs="仿宋_GB2312"/>
          <w:color w:val="000000"/>
          <w:sz w:val="32"/>
          <w:szCs w:val="32"/>
          <w:lang w:eastAsia="zh-CN" w:bidi="ar"/>
        </w:rPr>
        <w:t>新疆维吾尔自治区发展和改革委员会机关服务中心2024年度，实有人数68人，其中：在职人员25人，减少6人；离休人员0人，较上年无变化；退休人员43人，增加5人。</w:t>
      </w:r>
    </w:p>
    <w:p>
      <w:pPr>
        <w:spacing w:after="0" w:line="560" w:lineRule="exact"/>
        <w:ind w:firstLine="640" w:firstLineChars="200"/>
        <w:rPr>
          <w:rFonts w:ascii="仿宋_GB2312" w:eastAsia="仿宋_GB2312"/>
          <w:sz w:val="32"/>
          <w:szCs w:val="32"/>
          <w:lang w:eastAsia="zh-CN"/>
        </w:rPr>
      </w:pPr>
      <w:r>
        <w:rPr>
          <w:rFonts w:hint="eastAsia" w:ascii="仿宋_GB2312" w:hAnsi="仿宋_GB2312" w:eastAsia="仿宋_GB2312" w:cs="仿宋_GB2312"/>
          <w:color w:val="000000"/>
          <w:sz w:val="32"/>
          <w:szCs w:val="32"/>
          <w:lang w:eastAsia="zh-CN" w:bidi="ar"/>
        </w:rPr>
        <w:t>新疆维吾尔自治区发展和改革委员会机关服务中心无下属预算单位，下设7个处室，分别是：综合科、维修科、物业科、资产科、房产科、车队、食堂</w:t>
      </w:r>
      <w:r>
        <w:rPr>
          <w:rFonts w:hint="eastAsia" w:ascii="仿宋_GB2312" w:eastAsia="仿宋_GB2312"/>
          <w:sz w:val="32"/>
          <w:szCs w:val="32"/>
          <w:lang w:eastAsia="zh-CN"/>
        </w:rPr>
        <w:t>。</w:t>
      </w:r>
    </w:p>
    <w:p>
      <w:pPr>
        <w:spacing w:line="560" w:lineRule="exact"/>
        <w:rPr>
          <w:rFonts w:ascii="仿宋_GB2312" w:eastAsia="仿宋_GB2312"/>
          <w:lang w:eastAsia="zh-CN"/>
        </w:rPr>
      </w:pPr>
      <w:r>
        <w:rPr>
          <w:rFonts w:hint="eastAsia" w:ascii="仿宋_GB2312" w:eastAsia="仿宋_GB2312"/>
          <w:sz w:val="0"/>
          <w:szCs w:val="0"/>
          <w:lang w:eastAsia="zh-CN"/>
        </w:rPr>
        <w:br w:type="page"/>
      </w:r>
    </w:p>
    <w:p>
      <w:pPr>
        <w:spacing w:after="0" w:line="560" w:lineRule="exact"/>
        <w:jc w:val="center"/>
        <w:outlineLvl w:val="0"/>
        <w:rPr>
          <w:rFonts w:ascii="黑体" w:hAnsi="黑体" w:eastAsia="黑体"/>
          <w:sz w:val="32"/>
          <w:szCs w:val="32"/>
          <w:lang w:eastAsia="zh-CN"/>
        </w:rPr>
      </w:pPr>
      <w:r>
        <w:rPr>
          <w:rFonts w:hint="eastAsia" w:ascii="黑体" w:hAnsi="黑体" w:eastAsia="黑体"/>
          <w:sz w:val="32"/>
          <w:szCs w:val="32"/>
          <w:lang w:eastAsia="zh-CN"/>
        </w:rPr>
        <w:t>第二部分部门决算情况说明</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一、收入支出决算总体情况说明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2024年度收入总计845.12万元，其中：本年收入合计1,000.00万元，使用非财政拨款结余（含专用结余）0.00万元，年初结转和结余-154.88万元。</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2024年度支出总计845.12万元，其中：本年支出合计919.53万元，结余分配0.51万元，年末结转和结余-74.92万元。</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收入支出总体与上年相比，增加210.55万元，增长33.18%，主要原因是：本年度成本性经营收入增加，导致相应支出增加。</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二、收入决算情况说明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本年收入1,000.00万元，其中：财政拨款收入732.65万元,占73.27%；上级补助收入0.00万元,占0.00%；事业收入0.00万元，占0.00%；经营收入266.84万元,占26.68%；附属单位上缴收入0.00万元，占0.00%；其他收入0.51万元，占0.05%。</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三、支出决算情况说明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本年支出919.53万元，其中：基本支出732.65万元，占79.68%；项目支出0.00万元，占0.00%；上缴上级支出0.00万元，占0.00%；经营支出186.89万元，占20.32%；对附属单位补助支出0.00万元，占0.00%。</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四、财政拨款收入支出决算总体情况说明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2024年度财政拨款收入总计732.65万元，其中：年初财政拨款结转和结余0.00万元，本年财政拨款收入732.65万元。财政拨款支出总计732.65万元，其中：年末财政拨款结转和结余0.00万元，本年财政拨款支出732.65万元。</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财政拨款收入支出总体与上年相比，减少56.20万元，下降7.12%，主要原因是：本年减少房租成本性支出及后勤保障专项经费。与年初预算相比，年初预算数685.48万元，决算数732.65万元，预决算差异率6.88%，主要原因是：年中追加退休人员职业年金缴费，导致预决算存在差异。</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五、一般公共预算财政拨款支出决算情况说明</w:t>
      </w:r>
    </w:p>
    <w:p>
      <w:pPr>
        <w:spacing w:after="0" w:line="560" w:lineRule="exact"/>
        <w:ind w:firstLine="642" w:firstLineChars="200"/>
        <w:outlineLvl w:val="2"/>
        <w:rPr>
          <w:rFonts w:ascii="楷体_GB2312" w:eastAsia="楷体_GB2312"/>
          <w:sz w:val="32"/>
          <w:szCs w:val="32"/>
          <w:lang w:eastAsia="zh-CN"/>
        </w:rPr>
      </w:pPr>
      <w:r>
        <w:rPr>
          <w:rFonts w:hint="eastAsia" w:ascii="楷体_GB2312" w:eastAsia="楷体_GB2312"/>
          <w:b/>
          <w:sz w:val="32"/>
          <w:szCs w:val="32"/>
          <w:lang w:eastAsia="zh-CN"/>
        </w:rPr>
        <w:t>（一）一般公共预算财政拨款支出决算总体情况</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一般公共预算财政拨款支出732.65万元，占本年支出合计的79.68%。与上年相比，减少56.20万元，下降7.12%，主要原因是：本年减少房租成本性支出及后勤保障专项经费。与年初预算相比，年初预算数685.48万元，决算数732.65万元，预决算差异率6.88%，主要原因是：年中追加退休人员职业年金缴费，导致预决算存在差异。</w:t>
      </w:r>
    </w:p>
    <w:p>
      <w:pPr>
        <w:spacing w:after="0" w:line="560" w:lineRule="exact"/>
        <w:ind w:firstLine="642" w:firstLineChars="200"/>
        <w:outlineLvl w:val="2"/>
        <w:rPr>
          <w:rFonts w:ascii="楷体_GB2312" w:eastAsia="楷体_GB2312"/>
          <w:sz w:val="32"/>
          <w:szCs w:val="32"/>
          <w:lang w:eastAsia="zh-CN"/>
        </w:rPr>
      </w:pPr>
      <w:r>
        <w:rPr>
          <w:rFonts w:hint="eastAsia" w:ascii="楷体_GB2312" w:eastAsia="楷体_GB2312"/>
          <w:b/>
          <w:sz w:val="32"/>
          <w:szCs w:val="32"/>
          <w:lang w:eastAsia="zh-CN"/>
        </w:rPr>
        <w:t>（二）一般公共预算财政拨款支出决算结构情况</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1.一般公共服务支出（类）449.16万元，占61.31%。</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2.社会保障和就业支出（类）181.15万元，占24.73%。</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3.卫生健康支出（类）56.00万元，占7.64%。</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4.住房保障支出（类）46.34万元，占6.32%。</w:t>
      </w:r>
    </w:p>
    <w:p>
      <w:pPr>
        <w:spacing w:after="0" w:line="560" w:lineRule="exact"/>
        <w:ind w:firstLine="642" w:firstLineChars="200"/>
        <w:outlineLvl w:val="2"/>
        <w:rPr>
          <w:rFonts w:ascii="楷体_GB2312" w:eastAsia="楷体_GB2312"/>
          <w:sz w:val="32"/>
          <w:szCs w:val="32"/>
          <w:lang w:eastAsia="zh-CN"/>
        </w:rPr>
      </w:pPr>
      <w:r>
        <w:rPr>
          <w:rFonts w:hint="eastAsia" w:ascii="楷体_GB2312" w:eastAsia="楷体_GB2312"/>
          <w:b/>
          <w:sz w:val="32"/>
          <w:szCs w:val="32"/>
          <w:lang w:eastAsia="zh-CN"/>
        </w:rPr>
        <w:t>（三）一般公共预算财政拨款支出决算具体情况</w:t>
      </w:r>
    </w:p>
    <w:p>
      <w:pPr>
        <w:numPr>
          <w:ilvl w:val="0"/>
          <w:numId w:val="1"/>
        </w:numPr>
        <w:spacing w:after="0" w:line="560" w:lineRule="exact"/>
        <w:rPr>
          <w:rFonts w:ascii="仿宋_GB2312" w:eastAsia="仿宋_GB2312"/>
          <w:sz w:val="32"/>
          <w:szCs w:val="32"/>
          <w:lang w:eastAsia="zh-CN"/>
        </w:rPr>
      </w:pPr>
      <w:r>
        <w:rPr>
          <w:rFonts w:hint="eastAsia" w:ascii="仿宋_GB2312" w:eastAsia="仿宋_GB2312"/>
          <w:sz w:val="32"/>
          <w:szCs w:val="32"/>
          <w:lang w:eastAsia="zh-CN"/>
        </w:rPr>
        <w:t>一般公共服务支出（类）发展与改革事务（款）机关服务（项）：支出决算数为449.16万元，比上年决算减少79.57万元，下降15.05%，主要原因是：本年在职人员减少，相关人员经费较上年减少。</w:t>
      </w:r>
    </w:p>
    <w:p>
      <w:pPr>
        <w:numPr>
          <w:ilvl w:val="0"/>
          <w:numId w:val="1"/>
        </w:numPr>
        <w:spacing w:after="0" w:line="560" w:lineRule="exact"/>
        <w:rPr>
          <w:rFonts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社会保障和就业支出（类）行政事业单位养老支出（款）事业单位离退休（项）：支出决算数为89.82万元，比上年决算增加0.41万元，增长0.46%，主要原因是：本年新增退休人员，退休经费支出增加。</w:t>
      </w:r>
    </w:p>
    <w:p>
      <w:pPr>
        <w:numPr>
          <w:ilvl w:val="0"/>
          <w:numId w:val="1"/>
        </w:numPr>
        <w:spacing w:after="0" w:line="560" w:lineRule="exact"/>
        <w:rPr>
          <w:rFonts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机关事业单位基本养老保险缴费支出（项）：支出决算数为61.79万元，比上年决算增加2.09万元，增长3.50%，主要原因是：本年在职人员工资基数调增，养老缴费基数上涨，相应支出增加。</w:t>
      </w:r>
    </w:p>
    <w:p>
      <w:pPr>
        <w:numPr>
          <w:ilvl w:val="0"/>
          <w:numId w:val="1"/>
        </w:numPr>
        <w:spacing w:after="0" w:line="560" w:lineRule="exact"/>
        <w:rPr>
          <w:rFonts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机关事业单位职业年金缴费支出（项）：支出决算数为29.53万元，比上年决算增加17.41万元，增长143.65%，主要原因是：本年新增退休人员，职业年金缴费支出增加。</w:t>
      </w:r>
    </w:p>
    <w:p>
      <w:pPr>
        <w:numPr>
          <w:ilvl w:val="0"/>
          <w:numId w:val="1"/>
        </w:numPr>
        <w:spacing w:after="0" w:line="560" w:lineRule="exact"/>
        <w:rPr>
          <w:rFonts w:ascii="仿宋_GB2312" w:eastAsia="仿宋_GB2312"/>
          <w:sz w:val="32"/>
          <w:szCs w:val="32"/>
          <w:lang w:eastAsia="zh-CN"/>
        </w:rPr>
      </w:pPr>
      <w:r>
        <w:rPr>
          <w:rFonts w:hint="eastAsia" w:ascii="仿宋_GB2312" w:eastAsia="仿宋_GB2312"/>
          <w:sz w:val="32"/>
          <w:szCs w:val="32"/>
          <w:lang w:eastAsia="zh-CN"/>
        </w:rPr>
        <w:t>卫生健康支出（类）行政事业单位医疗（款）事业单位医疗（项）：支出决算数为28.96万元，比上年决算增加0.97万元，增长3.47%，主要原因是：本年在职人员工资基数调增，医疗缴费基数上涨，相应支出增加。</w:t>
      </w:r>
    </w:p>
    <w:p>
      <w:pPr>
        <w:numPr>
          <w:ilvl w:val="0"/>
          <w:numId w:val="1"/>
        </w:numPr>
        <w:spacing w:after="0" w:line="560" w:lineRule="exact"/>
        <w:rPr>
          <w:rFonts w:ascii="仿宋_GB2312" w:eastAsia="仿宋_GB2312"/>
          <w:sz w:val="32"/>
          <w:szCs w:val="32"/>
          <w:lang w:eastAsia="zh-CN"/>
        </w:rPr>
      </w:pPr>
      <w:r>
        <w:rPr>
          <w:rFonts w:hint="eastAsia" w:ascii="仿宋_GB2312" w:eastAsia="仿宋_GB2312"/>
          <w:sz w:val="32"/>
          <w:szCs w:val="32"/>
          <w:lang w:eastAsia="zh-CN"/>
        </w:rPr>
        <w:t>卫生健康支出（类）行政事业单位医疗（款）公务员医疗补助（项）：支出决算数为27.03万元，比上年决算增加0.91万元，增长3.48%，主要原因是：本年在职人员工资基数调增，医疗缴费基数上涨，相应支出增加。</w:t>
      </w:r>
    </w:p>
    <w:p>
      <w:pPr>
        <w:numPr>
          <w:ilvl w:val="0"/>
          <w:numId w:val="1"/>
        </w:numPr>
        <w:spacing w:after="0" w:line="560" w:lineRule="exact"/>
        <w:rPr>
          <w:rFonts w:ascii="仿宋_GB2312" w:eastAsia="仿宋_GB2312"/>
          <w:sz w:val="32"/>
          <w:szCs w:val="32"/>
          <w:lang w:eastAsia="zh-CN"/>
        </w:rPr>
      </w:pPr>
      <w:r>
        <w:rPr>
          <w:rFonts w:hint="eastAsia" w:ascii="仿宋_GB2312" w:eastAsia="仿宋_GB2312"/>
          <w:sz w:val="32"/>
          <w:szCs w:val="32"/>
          <w:lang w:eastAsia="zh-CN"/>
        </w:rPr>
        <w:t>住房保障支出（类）住房改革支出（款）住房公积金（项）：支出决算数为46.34万元，比上年决算增加1.56万元，增长3.48%，主要原因是：本年在职人员工资基数调增，公积金缴费基数上涨，相应支出增加。</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六、一般公共预算财政拨款基本支出决算情况说明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一般公共预算财政拨款基本支出732.65万元，其中：人员经费676.96万元，包括：基本工资、津贴补贴、奖金、绩效工资、机关事业单位基本养老保险缴费、职业年金缴费、职工基本医疗保险缴费、公务员医疗补助缴费、其他社会保障缴费、住房公积金、其他工资福利支出、退休费、抚恤金和其他对个人和家庭的补助。</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公用经费55.68万元，包括：办公费、邮电费、物业管理费、差旅费、工会经费、福利费和其他商品和服务支出。</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七、政府性基金预算财政拨款收入支出决算情况说明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八、国有资本经营预算财政拨款收入支出决算情况说明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九、财政拨款“三公”经费支出决算情况说明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财政拨款“三公”经费支出0.00万元，与上年相比无变化，主要原因是：2023年与2024年均未安排财政拨款“三公”经费支出。其中：因公出国（境）费支出0.00万元,占0.00%，与上年相比无变化，主要原因是：2023年与2024年均未安排因公出国（境）费支出；公务用车购置及运行维护费支出0.00万元，占0.00%，与上年相比无变化，主要原因是：2023年与2024年均未安排公务用车购置及运行维护费支出；公务接待费支出0.00万元，占0.00%，与上年相比无变化，主要原因是：2023年与2024年均未安排公务接待费支出。</w:t>
      </w:r>
    </w:p>
    <w:p>
      <w:pPr>
        <w:spacing w:after="0"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具体情况如下：</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因公出国（境）费支出0.00万元，开支内容包括本单位无因公出国（境）费。单位全年安排的因公出国（境）团组0个，因公出国（境）0人次。</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与公务用车保有量无差异。</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公务接待费0.00万元，开支内容包括本单位无公务接待费。单位全年安排的国内公务接待0批次，0人次。</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与全年预算相比，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十、其他重要事项的情况说明</w:t>
      </w:r>
    </w:p>
    <w:p>
      <w:pPr>
        <w:spacing w:after="0" w:line="560" w:lineRule="exact"/>
        <w:ind w:firstLine="642" w:firstLineChars="200"/>
        <w:outlineLvl w:val="2"/>
        <w:rPr>
          <w:rFonts w:ascii="楷体_GB2312" w:eastAsia="楷体_GB2312"/>
          <w:sz w:val="32"/>
          <w:szCs w:val="32"/>
          <w:lang w:eastAsia="zh-CN"/>
        </w:rPr>
      </w:pPr>
      <w:r>
        <w:rPr>
          <w:rFonts w:hint="eastAsia" w:ascii="楷体_GB2312" w:eastAsia="楷体_GB2312"/>
          <w:b/>
          <w:sz w:val="32"/>
          <w:szCs w:val="32"/>
          <w:lang w:eastAsia="zh-CN"/>
        </w:rPr>
        <w:t>（一）机关运行经费及公用经费支出情况</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w:t>
      </w:r>
      <w:r>
        <w:rPr>
          <w:rFonts w:hint="eastAsia" w:ascii="仿宋_GB2312" w:hAnsi="仿宋_GB2312" w:eastAsia="仿宋_GB2312" w:cs="仿宋_GB2312"/>
          <w:color w:val="000000"/>
          <w:sz w:val="32"/>
          <w:szCs w:val="32"/>
          <w:lang w:eastAsia="zh-CN" w:bidi="ar"/>
        </w:rPr>
        <w:t>新疆维吾尔自治区发展和改革委员会机关服务中心</w:t>
      </w:r>
      <w:r>
        <w:rPr>
          <w:rFonts w:hint="eastAsia" w:ascii="仿宋_GB2312" w:eastAsia="仿宋_GB2312"/>
          <w:sz w:val="32"/>
          <w:szCs w:val="32"/>
          <w:lang w:eastAsia="zh-CN"/>
        </w:rPr>
        <w:t>公用经费支出55.68万元，比上年增加21.89万元，增长64.78%，主要原因是：本年增加物业管理费，导致公用经费支出增加。</w:t>
      </w:r>
    </w:p>
    <w:p>
      <w:pPr>
        <w:spacing w:after="0" w:line="560" w:lineRule="exact"/>
        <w:ind w:firstLine="642" w:firstLineChars="200"/>
        <w:outlineLvl w:val="2"/>
        <w:rPr>
          <w:rFonts w:ascii="楷体_GB2312" w:eastAsia="楷体_GB2312"/>
          <w:sz w:val="32"/>
          <w:szCs w:val="32"/>
          <w:lang w:eastAsia="zh-CN"/>
        </w:rPr>
      </w:pPr>
      <w:r>
        <w:rPr>
          <w:rFonts w:hint="eastAsia" w:ascii="楷体_GB2312" w:eastAsia="楷体_GB2312"/>
          <w:b/>
          <w:sz w:val="32"/>
          <w:szCs w:val="32"/>
          <w:lang w:eastAsia="zh-CN"/>
        </w:rPr>
        <w:t>（二）政府采购情况</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2024年度政府采购支出总额164.54万元，其中：政府采购货物支出1.76万元、政府采购工程支出19.95万元、政府采购服务支出142.83万元。</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授予中小企业合同金额164.53万元，占政府采购支出总额的99.99%，其中：授予小微企业合同金额164.53万元，占政府采购支出总额的99.99%。</w:t>
      </w:r>
    </w:p>
    <w:p>
      <w:pPr>
        <w:spacing w:after="0" w:line="560" w:lineRule="exact"/>
        <w:ind w:firstLine="642" w:firstLineChars="200"/>
        <w:outlineLvl w:val="2"/>
        <w:rPr>
          <w:rFonts w:ascii="楷体_GB2312" w:eastAsia="楷体_GB2312"/>
          <w:sz w:val="32"/>
          <w:szCs w:val="32"/>
          <w:lang w:eastAsia="zh-CN"/>
        </w:rPr>
      </w:pPr>
      <w:r>
        <w:rPr>
          <w:rFonts w:hint="eastAsia" w:ascii="楷体_GB2312" w:eastAsia="楷体_GB2312"/>
          <w:b/>
          <w:sz w:val="32"/>
          <w:szCs w:val="32"/>
          <w:lang w:eastAsia="zh-CN"/>
        </w:rPr>
        <w:t>（三）国有资产占用情况说明</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rPr>
        <w:t>截至2024年12月31日，房屋0.00平方米，价值0.00万元。</w:t>
      </w:r>
      <w:r>
        <w:rPr>
          <w:rFonts w:hint="eastAsia"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十一、预算绩效的情况说明</w:t>
      </w:r>
    </w:p>
    <w:p>
      <w:pPr>
        <w:spacing w:after="0" w:line="560" w:lineRule="exact"/>
        <w:ind w:firstLine="640" w:firstLineChars="200"/>
        <w:jc w:val="both"/>
        <w:rPr>
          <w:rFonts w:ascii="仿宋_GB2312" w:eastAsia="仿宋_GB2312"/>
          <w:sz w:val="32"/>
          <w:szCs w:val="32"/>
          <w:highlight w:val="yellow"/>
          <w:lang w:eastAsia="zh-CN"/>
        </w:rPr>
      </w:pPr>
      <w:r>
        <w:rPr>
          <w:rFonts w:hint="eastAsia" w:ascii="仿宋_GB2312" w:eastAsia="仿宋_GB2312"/>
          <w:sz w:val="32"/>
          <w:szCs w:val="32"/>
          <w:lang w:eastAsia="zh-CN"/>
        </w:rPr>
        <w:t>根据预算绩效管理要求，本单位2024年度预算绩效评价项目1个，全年预算数226.00万元，全年执行数186.89万元。预算绩效管理取得的成效：</w:t>
      </w:r>
      <w:r>
        <w:rPr>
          <w:rStyle w:val="15"/>
          <w:rFonts w:hint="eastAsia" w:ascii="仿宋_GB2312" w:eastAsia="仿宋_GB2312"/>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hint="eastAsia" w:ascii="仿宋_GB2312" w:eastAsia="仿宋_GB2312"/>
          <w:sz w:val="32"/>
          <w:szCs w:val="32"/>
          <w:lang w:eastAsia="zh-CN"/>
        </w:rPr>
        <w:t>。发现的问题及原因：</w:t>
      </w:r>
      <w:r>
        <w:rPr>
          <w:rStyle w:val="15"/>
          <w:rFonts w:hint="eastAsia" w:ascii="仿宋_GB2312"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hint="eastAsia" w:ascii="仿宋_GB2312" w:eastAsia="仿宋_GB2312"/>
          <w:sz w:val="32"/>
          <w:szCs w:val="32"/>
          <w:lang w:eastAsia="zh-CN"/>
        </w:rPr>
        <w:t>。下一步改进措施：</w:t>
      </w:r>
      <w:r>
        <w:rPr>
          <w:rStyle w:val="15"/>
          <w:rFonts w:hint="eastAsia" w:ascii="仿宋_GB2312"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hint="eastAsia" w:ascii="仿宋_GB2312" w:eastAsia="仿宋_GB2312"/>
          <w:sz w:val="32"/>
          <w:szCs w:val="32"/>
          <w:lang w:eastAsia="zh-CN"/>
        </w:rPr>
        <w:t>。具体附项目支出绩效自评表。</w:t>
      </w:r>
    </w:p>
    <w:p>
      <w:pPr>
        <w:spacing w:after="0" w:line="560" w:lineRule="exact"/>
        <w:ind w:firstLine="640" w:firstLineChars="200"/>
        <w:outlineLvl w:val="1"/>
        <w:rPr>
          <w:rFonts w:ascii="黑体" w:hAnsi="黑体" w:eastAsia="黑体"/>
          <w:sz w:val="32"/>
          <w:szCs w:val="32"/>
          <w:lang w:eastAsia="zh-CN"/>
        </w:rPr>
      </w:pPr>
      <w:r>
        <w:rPr>
          <w:rFonts w:hint="eastAsia" w:ascii="黑体" w:hAnsi="黑体" w:eastAsia="黑体"/>
          <w:sz w:val="32"/>
          <w:szCs w:val="32"/>
          <w:lang w:eastAsia="zh-CN"/>
        </w:rPr>
        <w:t>十二、其他需说明的事项</w:t>
      </w:r>
    </w:p>
    <w:p>
      <w:pPr>
        <w:spacing w:after="0"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本单位无其他需说明的事项。</w:t>
      </w:r>
    </w:p>
    <w:p>
      <w:pPr>
        <w:spacing w:after="0" w:line="560" w:lineRule="exact"/>
        <w:ind w:firstLine="640" w:firstLineChars="200"/>
        <w:rPr>
          <w:rFonts w:ascii="仿宋_GB2312" w:eastAsia="仿宋_GB2312"/>
          <w:sz w:val="32"/>
          <w:szCs w:val="32"/>
          <w:lang w:eastAsia="zh-CN"/>
        </w:rPr>
      </w:pPr>
    </w:p>
    <w:p>
      <w:pPr>
        <w:spacing w:line="560" w:lineRule="exact"/>
        <w:rPr>
          <w:rFonts w:ascii="仿宋_GB2312" w:eastAsia="仿宋_GB2312"/>
          <w:lang w:eastAsia="zh-CN"/>
        </w:rPr>
      </w:pPr>
      <w:r>
        <w:rPr>
          <w:rFonts w:hint="eastAsia" w:ascii="仿宋_GB2312" w:eastAsia="仿宋_GB2312"/>
          <w:sz w:val="0"/>
          <w:szCs w:val="0"/>
          <w:lang w:eastAsia="zh-CN"/>
        </w:rPr>
        <w:br w:type="page"/>
      </w:r>
    </w:p>
    <w:p>
      <w:pPr>
        <w:spacing w:after="0" w:line="560" w:lineRule="exact"/>
        <w:jc w:val="center"/>
        <w:outlineLvl w:val="0"/>
        <w:rPr>
          <w:rFonts w:ascii="黑体" w:hAnsi="黑体" w:eastAsia="黑体"/>
          <w:sz w:val="32"/>
          <w:szCs w:val="32"/>
          <w:lang w:eastAsia="zh-CN"/>
        </w:rPr>
      </w:pPr>
      <w:r>
        <w:rPr>
          <w:rFonts w:hint="eastAsia" w:ascii="黑体" w:hAnsi="黑体" w:eastAsia="黑体"/>
          <w:sz w:val="32"/>
          <w:szCs w:val="32"/>
          <w:lang w:eastAsia="zh-CN"/>
        </w:rPr>
        <w:t>第三部分专业名词解释</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一、财政拨款收入：</w:t>
      </w:r>
      <w:r>
        <w:rPr>
          <w:rFonts w:hint="eastAsia" w:ascii="仿宋_GB2312" w:eastAsia="仿宋_GB2312"/>
          <w:sz w:val="32"/>
          <w:szCs w:val="32"/>
          <w:lang w:eastAsia="zh-CN"/>
        </w:rPr>
        <w:t>指同级财政当年拨付的资金。</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二、上级补助收入：</w:t>
      </w:r>
      <w:r>
        <w:rPr>
          <w:rFonts w:hint="eastAsia" w:ascii="仿宋_GB2312" w:eastAsia="仿宋_GB2312"/>
          <w:sz w:val="32"/>
          <w:szCs w:val="32"/>
          <w:lang w:eastAsia="zh-CN"/>
        </w:rPr>
        <w:t>指事业单位从主管部门和上级单位取得的非财政补助收入。</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三、事业收入：</w:t>
      </w:r>
      <w:r>
        <w:rPr>
          <w:rFonts w:hint="eastAsia" w:ascii="仿宋_GB2312" w:eastAsia="仿宋_GB2312"/>
          <w:sz w:val="32"/>
          <w:szCs w:val="32"/>
          <w:lang w:eastAsia="zh-CN"/>
        </w:rPr>
        <w:t>指事业单位开展专业业务活动及其辅助活动所取得的收入。</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四、经营收入：</w:t>
      </w:r>
      <w:r>
        <w:rPr>
          <w:rFonts w:hint="eastAsia" w:ascii="仿宋_GB2312" w:eastAsia="仿宋_GB2312"/>
          <w:sz w:val="32"/>
          <w:szCs w:val="32"/>
          <w:lang w:eastAsia="zh-CN"/>
        </w:rPr>
        <w:t>指事业单位在专业业务活动及其辅助活动之外开展非独立核算经营活动取得的收入。</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五、附属单位上缴收入：</w:t>
      </w:r>
      <w:r>
        <w:rPr>
          <w:rFonts w:hint="eastAsia" w:ascii="仿宋_GB2312" w:eastAsia="仿宋_GB2312"/>
          <w:sz w:val="32"/>
          <w:szCs w:val="32"/>
          <w:lang w:eastAsia="zh-CN"/>
        </w:rPr>
        <w:t>指事业单位附属的独立核算单位按有关规定上缴的收入。</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六、其他收入：</w:t>
      </w:r>
      <w:r>
        <w:rPr>
          <w:rFonts w:hint="eastAsia" w:ascii="仿宋_GB2312" w:eastAsia="仿宋_GB2312"/>
          <w:sz w:val="32"/>
          <w:szCs w:val="32"/>
          <w:lang w:eastAsia="zh-CN"/>
        </w:rPr>
        <w:t>指除上述“财政拨款收入”、“事业收入”、“经营收入”、“附属单位上缴收入”等之外取得的收入。</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七、年初结转和结余：</w:t>
      </w:r>
      <w:r>
        <w:rPr>
          <w:rFonts w:hint="eastAsia"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八、年末结转和结余：</w:t>
      </w:r>
      <w:r>
        <w:rPr>
          <w:rFonts w:hint="eastAsia"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九、基本支出：</w:t>
      </w:r>
      <w:r>
        <w:rPr>
          <w:rFonts w:hint="eastAsia" w:ascii="仿宋_GB2312" w:eastAsia="仿宋_GB2312"/>
          <w:sz w:val="32"/>
          <w:szCs w:val="32"/>
          <w:lang w:eastAsia="zh-CN"/>
        </w:rPr>
        <w:t>指为保障机构正常运转、完成日常工作任务而发生的人员支出和公用支出。</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十、项目支出：</w:t>
      </w:r>
      <w:r>
        <w:rPr>
          <w:rFonts w:hint="eastAsia" w:ascii="仿宋_GB2312" w:eastAsia="仿宋_GB2312"/>
          <w:sz w:val="32"/>
          <w:szCs w:val="32"/>
          <w:lang w:eastAsia="zh-CN"/>
        </w:rPr>
        <w:t>指在基本支出之外为完成特定行政任务和事业发展目标所发生的支出。</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十一、经营支出：</w:t>
      </w:r>
      <w:r>
        <w:rPr>
          <w:rFonts w:hint="eastAsia" w:ascii="仿宋_GB2312" w:eastAsia="仿宋_GB2312"/>
          <w:sz w:val="32"/>
          <w:szCs w:val="32"/>
          <w:lang w:eastAsia="zh-CN"/>
        </w:rPr>
        <w:t>指事业单位在专业业务活动及其辅助活动之外开展非独立核算经营活动发生的支出。</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十二、对附属单位补助支出：</w:t>
      </w:r>
      <w:r>
        <w:rPr>
          <w:rFonts w:hint="eastAsia" w:ascii="仿宋_GB2312" w:eastAsia="仿宋_GB2312"/>
          <w:sz w:val="32"/>
          <w:szCs w:val="32"/>
          <w:lang w:eastAsia="zh-CN"/>
        </w:rPr>
        <w:t>指事业单位发生的用非财政预算资金对附属单位的补助支出。</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十三、“三公”经费：</w:t>
      </w:r>
      <w:r>
        <w:rPr>
          <w:rFonts w:hint="eastAsia"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2" w:firstLineChars="200"/>
        <w:rPr>
          <w:rFonts w:ascii="仿宋_GB2312" w:eastAsia="仿宋_GB2312"/>
          <w:sz w:val="32"/>
          <w:szCs w:val="32"/>
          <w:lang w:eastAsia="zh-CN"/>
        </w:rPr>
      </w:pPr>
      <w:r>
        <w:rPr>
          <w:rFonts w:hint="eastAsia" w:ascii="仿宋_GB2312" w:eastAsia="仿宋_GB2312"/>
          <w:b/>
          <w:sz w:val="32"/>
          <w:szCs w:val="32"/>
          <w:lang w:eastAsia="zh-CN"/>
        </w:rPr>
        <w:t>十四、机关运行经费：</w:t>
      </w:r>
      <w:r>
        <w:rPr>
          <w:rFonts w:hint="eastAsia" w:ascii="仿宋_GB2312" w:eastAsia="仿宋_GB2312"/>
          <w:sz w:val="32"/>
          <w:szCs w:val="32"/>
          <w:lang w:eastAsia="zh-CN"/>
        </w:rPr>
        <w:t>行政单位和参照公务员法管理的事业单位财政拨款基本支出中的公用经费支出。</w:t>
      </w:r>
    </w:p>
    <w:p>
      <w:pPr>
        <w:spacing w:line="560" w:lineRule="exact"/>
        <w:rPr>
          <w:rFonts w:ascii="仿宋_GB2312" w:eastAsia="仿宋_GB2312"/>
          <w:lang w:eastAsia="zh-CN"/>
        </w:rPr>
      </w:pPr>
      <w:r>
        <w:rPr>
          <w:rFonts w:hint="eastAsia" w:ascii="仿宋_GB2312" w:eastAsia="仿宋_GB2312"/>
          <w:sz w:val="0"/>
          <w:szCs w:val="0"/>
          <w:lang w:eastAsia="zh-CN"/>
        </w:rPr>
        <w:br w:type="page"/>
      </w:r>
    </w:p>
    <w:p>
      <w:pPr>
        <w:spacing w:after="0" w:line="560" w:lineRule="exact"/>
        <w:jc w:val="center"/>
        <w:outlineLvl w:val="0"/>
        <w:rPr>
          <w:rFonts w:ascii="黑体" w:hAnsi="黑体" w:eastAsia="黑体"/>
          <w:sz w:val="32"/>
          <w:szCs w:val="32"/>
          <w:lang w:eastAsia="zh-CN"/>
        </w:rPr>
      </w:pPr>
      <w:r>
        <w:rPr>
          <w:rFonts w:hint="eastAsia" w:ascii="黑体" w:hAnsi="黑体" w:eastAsia="黑体"/>
          <w:sz w:val="32"/>
          <w:szCs w:val="32"/>
          <w:lang w:eastAsia="zh-CN"/>
        </w:rPr>
        <w:t>第四部分部门决算报表（见附表）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一、《收入支出决算总表》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二、《收入决算表》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三、《支出决算表》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四、《财政拨款收入支出决算总表》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五、《一般公共预算财政拨款支出决算表》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六、《一般公共预算财政拨款基本支出决算表》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七、《政府性基金预算财政拨款收入支出决算表》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八、《国有资本经营预算财政拨款收入支出决算表》</w:t>
      </w:r>
    </w:p>
    <w:p>
      <w:pPr>
        <w:spacing w:after="0" w:line="560" w:lineRule="exact"/>
        <w:ind w:firstLine="640" w:firstLineChars="200"/>
        <w:outlineLvl w:val="1"/>
        <w:rPr>
          <w:rFonts w:ascii="仿宋_GB2312" w:eastAsia="仿宋_GB2312"/>
          <w:sz w:val="32"/>
          <w:szCs w:val="32"/>
          <w:lang w:eastAsia="zh-CN"/>
        </w:rPr>
      </w:pPr>
      <w:r>
        <w:rPr>
          <w:rFonts w:hint="eastAsia" w:ascii="仿宋_GB2312" w:eastAsia="仿宋_GB2312"/>
          <w:sz w:val="32"/>
          <w:szCs w:val="32"/>
          <w:lang w:eastAsia="zh-CN"/>
        </w:rPr>
        <w:t>九、《财政拨款“三公”经费支出决算表》</w:t>
      </w:r>
    </w:p>
    <w:sectPr>
      <w:footerReference r:id="rId7" w:type="default"/>
      <w:pgSz w:w="11907" w:h="16839"/>
      <w:pgMar w:top="2098" w:right="1531" w:bottom="1985" w:left="1531" w:header="720" w:footer="720" w:gutter="0"/>
      <w:pgNumType w:fmt="numberInDash"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bookmarkStart w:id="0" w:name="_GoBack"/>
    <w:bookmarkEnd w:id="0"/>
    <w:r>
      <w:rPr>
        <w:sz w:val="18"/>
      </w:rPr>
      <w:pict>
        <v:shape id="_x0000_s2050" o:spid="_x0000_s2050"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930441"/>
    <w:rsid w:val="006151DF"/>
    <w:rsid w:val="00930441"/>
    <w:rsid w:val="00A66C05"/>
    <w:rsid w:val="00C169E0"/>
    <w:rsid w:val="00F34CD9"/>
    <w:rsid w:val="093012FD"/>
    <w:rsid w:val="181C3CD3"/>
    <w:rsid w:val="19FC1944"/>
    <w:rsid w:val="228054F5"/>
    <w:rsid w:val="33C9620F"/>
    <w:rsid w:val="F725C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uiPriority w:val="99"/>
    <w:pPr>
      <w:tabs>
        <w:tab w:val="center" w:pos="4153"/>
        <w:tab w:val="right" w:pos="8306"/>
      </w:tabs>
      <w:snapToGrid w:val="0"/>
      <w:jc w:val="left"/>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895</Words>
  <Characters>5105</Characters>
  <Lines>42</Lines>
  <Paragraphs>11</Paragraphs>
  <TotalTime>1</TotalTime>
  <ScaleCrop>false</ScaleCrop>
  <LinksUpToDate>false</LinksUpToDate>
  <CharactersWithSpaces>5989</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2025-08-18T12:07:00Z</dcterms:created>
  <dc:creator>admin</dc:creator>
  <cp:lastModifiedBy>fgw</cp:lastModifiedBy>
  <dcterms:modified xsi:type="dcterms:W3CDTF">2025-08-26T17:20:02Z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3759C399DB3547788D8B8A6F613BEBBF_12</vt:lpwstr>
  </property>
</Properties>
</file>