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方正小标宋_GBK" w:cs="Times New Roman"/>
          <w:kern w:val="0"/>
          <w:sz w:val="44"/>
          <w:szCs w:val="44"/>
        </w:rPr>
      </w:pPr>
      <w:r>
        <w:rPr>
          <w:rFonts w:hint="default" w:ascii="Times New Roman" w:hAnsi="Times New Roman" w:eastAsia="方正小标宋_GBK" w:cs="Times New Roman"/>
          <w:kern w:val="0"/>
          <w:sz w:val="44"/>
          <w:szCs w:val="44"/>
        </w:rPr>
        <w:t>自治区财政项目支出绩效自评报告</w:t>
      </w:r>
    </w:p>
    <w:p>
      <w:pPr>
        <w:spacing w:line="580" w:lineRule="exact"/>
        <w:jc w:val="center"/>
        <w:rPr>
          <w:rFonts w:hint="default" w:ascii="Times New Roman" w:hAnsi="Times New Roman" w:eastAsia="华文中宋" w:cs="Times New Roman"/>
          <w:b/>
          <w:kern w:val="0"/>
          <w:sz w:val="52"/>
          <w:szCs w:val="52"/>
        </w:rPr>
      </w:pPr>
    </w:p>
    <w:p>
      <w:pPr>
        <w:spacing w:line="58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w:t>
      </w:r>
      <w:r>
        <w:rPr>
          <w:rStyle w:val="18"/>
          <w:rFonts w:hint="default" w:ascii="Times New Roman" w:hAnsi="Times New Roman" w:eastAsia="楷体" w:cs="Times New Roman"/>
          <w:spacing w:val="-4"/>
          <w:sz w:val="32"/>
          <w:szCs w:val="32"/>
        </w:rPr>
        <w:t>2024</w:t>
      </w:r>
      <w:bookmarkStart w:id="0" w:name="_GoBack"/>
      <w:bookmarkEnd w:id="0"/>
      <w:r>
        <w:rPr>
          <w:rFonts w:hint="default" w:ascii="Times New Roman" w:hAnsi="Times New Roman" w:eastAsia="仿宋_GB2312" w:cs="Times New Roman"/>
          <w:kern w:val="0"/>
          <w:sz w:val="36"/>
          <w:szCs w:val="36"/>
        </w:rPr>
        <w:t>年度）</w:t>
      </w:r>
    </w:p>
    <w:p>
      <w:pPr>
        <w:spacing w:line="580" w:lineRule="exact"/>
        <w:jc w:val="center"/>
        <w:rPr>
          <w:rFonts w:hint="default" w:ascii="Times New Roman" w:hAnsi="Times New Roman" w:eastAsia="仿宋_GB2312" w:cs="Times New Roman"/>
          <w:kern w:val="0"/>
          <w:sz w:val="30"/>
          <w:szCs w:val="30"/>
        </w:rPr>
      </w:pPr>
    </w:p>
    <w:p>
      <w:pPr>
        <w:spacing w:line="580" w:lineRule="exact"/>
        <w:jc w:val="center"/>
        <w:rPr>
          <w:rFonts w:hint="default" w:ascii="Times New Roman" w:hAnsi="Times New Roman" w:eastAsia="仿宋_GB2312" w:cs="Times New Roman"/>
          <w:kern w:val="0"/>
          <w:sz w:val="30"/>
          <w:szCs w:val="30"/>
        </w:rPr>
      </w:pPr>
    </w:p>
    <w:p>
      <w:pPr>
        <w:spacing w:line="580" w:lineRule="exact"/>
        <w:jc w:val="center"/>
        <w:rPr>
          <w:rFonts w:hint="default" w:ascii="Times New Roman" w:hAnsi="Times New Roman" w:eastAsia="仿宋_GB2312" w:cs="Times New Roman"/>
          <w:kern w:val="0"/>
          <w:sz w:val="30"/>
          <w:szCs w:val="30"/>
        </w:rPr>
      </w:pPr>
    </w:p>
    <w:p>
      <w:pPr>
        <w:spacing w:line="580" w:lineRule="exact"/>
        <w:jc w:val="center"/>
        <w:rPr>
          <w:rFonts w:hint="default" w:ascii="Times New Roman" w:hAnsi="Times New Roman" w:eastAsia="仿宋_GB2312" w:cs="Times New Roman"/>
          <w:kern w:val="0"/>
          <w:sz w:val="30"/>
          <w:szCs w:val="30"/>
        </w:rPr>
      </w:pPr>
    </w:p>
    <w:p>
      <w:pPr>
        <w:spacing w:line="580" w:lineRule="exact"/>
        <w:rPr>
          <w:rFonts w:hint="default" w:ascii="Times New Roman" w:hAnsi="Times New Roman" w:eastAsia="仿宋_GB2312" w:cs="Times New Roman"/>
          <w:kern w:val="0"/>
          <w:sz w:val="30"/>
          <w:szCs w:val="30"/>
        </w:rPr>
      </w:pPr>
    </w:p>
    <w:p>
      <w:pPr>
        <w:spacing w:line="58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 xml:space="preserve">     </w:t>
      </w:r>
    </w:p>
    <w:p>
      <w:pPr>
        <w:spacing w:line="580" w:lineRule="exact"/>
        <w:jc w:val="left"/>
        <w:rPr>
          <w:rFonts w:hint="default" w:ascii="Times New Roman" w:hAnsi="Times New Roman" w:eastAsia="仿宋_GB2312" w:cs="Times New Roman"/>
          <w:b/>
          <w:kern w:val="0"/>
          <w:sz w:val="32"/>
          <w:szCs w:val="32"/>
        </w:rPr>
      </w:pPr>
      <w:r>
        <w:rPr>
          <w:rFonts w:hint="default" w:ascii="Times New Roman" w:hAnsi="Times New Roman" w:eastAsia="仿宋_GB2312" w:cs="Times New Roman"/>
          <w:kern w:val="0"/>
          <w:sz w:val="32"/>
          <w:szCs w:val="32"/>
        </w:rPr>
        <w:t xml:space="preserve">    </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项目名称：</w:t>
      </w:r>
      <w:r>
        <w:rPr>
          <w:rStyle w:val="18"/>
          <w:rFonts w:hint="default" w:ascii="Times New Roman" w:hAnsi="Times New Roman" w:eastAsia="仿宋_GB2312" w:cs="Times New Roman"/>
          <w:b w:val="0"/>
          <w:spacing w:val="-4"/>
          <w:sz w:val="32"/>
          <w:szCs w:val="32"/>
        </w:rPr>
        <w:t>2024年中国品牌日活动经费</w:t>
      </w:r>
    </w:p>
    <w:p>
      <w:pPr>
        <w:spacing w:line="580" w:lineRule="exact"/>
        <w:rPr>
          <w:rFonts w:hint="default" w:ascii="Times New Roman" w:hAnsi="Times New Roman" w:eastAsia="仿宋_GB2312" w:cs="Times New Roman"/>
          <w:b/>
          <w:bCs/>
          <w:spacing w:val="-4"/>
          <w:sz w:val="32"/>
          <w:szCs w:val="32"/>
        </w:rPr>
      </w:pPr>
      <w:r>
        <w:rPr>
          <w:rFonts w:hint="default" w:ascii="Times New Roman" w:hAnsi="Times New Roman" w:eastAsia="仿宋_GB2312" w:cs="Times New Roman"/>
          <w:kern w:val="0"/>
          <w:sz w:val="32"/>
          <w:szCs w:val="32"/>
        </w:rPr>
        <w:t xml:space="preserve">    </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实施单位：</w:t>
      </w:r>
      <w:r>
        <w:rPr>
          <w:rStyle w:val="18"/>
          <w:rFonts w:hint="default" w:ascii="Times New Roman" w:hAnsi="Times New Roman" w:eastAsia="仿宋_GB2312" w:cs="Times New Roman"/>
          <w:b w:val="0"/>
          <w:spacing w:val="-4"/>
          <w:sz w:val="32"/>
          <w:szCs w:val="32"/>
        </w:rPr>
        <w:t>新疆维吾尔自治区发展和改革委员会</w:t>
      </w:r>
    </w:p>
    <w:p>
      <w:pPr>
        <w:spacing w:line="580" w:lineRule="exact"/>
        <w:rPr>
          <w:rFonts w:hint="default" w:ascii="Times New Roman" w:hAnsi="Times New Roman" w:eastAsia="仿宋_GB2312" w:cs="Times New Roman"/>
          <w:b/>
          <w:bCs/>
          <w:spacing w:val="-4"/>
          <w:sz w:val="32"/>
          <w:szCs w:val="32"/>
        </w:rPr>
      </w:pPr>
      <w:r>
        <w:rPr>
          <w:rFonts w:hint="default" w:ascii="Times New Roman" w:hAnsi="Times New Roman" w:eastAsia="仿宋_GB2312" w:cs="Times New Roman"/>
          <w:kern w:val="0"/>
          <w:sz w:val="32"/>
          <w:szCs w:val="32"/>
        </w:rPr>
        <w:t xml:space="preserve">    </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主管部门：</w:t>
      </w:r>
      <w:r>
        <w:rPr>
          <w:rStyle w:val="18"/>
          <w:rFonts w:hint="default" w:ascii="Times New Roman" w:hAnsi="Times New Roman" w:eastAsia="仿宋_GB2312" w:cs="Times New Roman"/>
          <w:b w:val="0"/>
          <w:spacing w:val="-4"/>
          <w:sz w:val="32"/>
          <w:szCs w:val="32"/>
        </w:rPr>
        <w:t>新疆维吾尔自治区发展和改革委员会</w:t>
      </w:r>
    </w:p>
    <w:p>
      <w:pPr>
        <w:spacing w:line="580" w:lineRule="exact"/>
        <w:rPr>
          <w:rFonts w:hint="default" w:ascii="Times New Roman" w:hAnsi="Times New Roman" w:eastAsia="仿宋_GB2312" w:cs="Times New Roman"/>
          <w:b/>
          <w:bCs/>
          <w:spacing w:val="-4"/>
          <w:sz w:val="32"/>
          <w:szCs w:val="32"/>
        </w:rPr>
      </w:pPr>
      <w:r>
        <w:rPr>
          <w:rFonts w:hint="default" w:ascii="Times New Roman" w:hAnsi="Times New Roman" w:eastAsia="仿宋_GB2312" w:cs="Times New Roman"/>
          <w:kern w:val="0"/>
          <w:sz w:val="32"/>
          <w:szCs w:val="32"/>
        </w:rPr>
        <w:t xml:space="preserve">    </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项目负责人：</w:t>
      </w:r>
      <w:r>
        <w:rPr>
          <w:rStyle w:val="18"/>
          <w:rFonts w:hint="default" w:ascii="Times New Roman" w:hAnsi="Times New Roman" w:eastAsia="仿宋_GB2312" w:cs="Times New Roman"/>
          <w:b w:val="0"/>
          <w:spacing w:val="-4"/>
          <w:sz w:val="32"/>
          <w:szCs w:val="32"/>
        </w:rPr>
        <w:t>李俊杰</w:t>
      </w:r>
    </w:p>
    <w:p>
      <w:pPr>
        <w:spacing w:line="580" w:lineRule="exact"/>
        <w:rPr>
          <w:rStyle w:val="18"/>
          <w:rFonts w:hint="default" w:ascii="Times New Roman" w:hAnsi="Times New Roman" w:eastAsia="仿宋_GB2312" w:cs="Times New Roman"/>
          <w:b w:val="0"/>
          <w:spacing w:val="-4"/>
          <w:sz w:val="32"/>
          <w:szCs w:val="32"/>
        </w:rPr>
      </w:pPr>
      <w:r>
        <w:rPr>
          <w:rFonts w:hint="default" w:ascii="Times New Roman" w:hAnsi="Times New Roman" w:eastAsia="仿宋_GB2312" w:cs="Times New Roman"/>
          <w:kern w:val="0"/>
          <w:sz w:val="32"/>
          <w:szCs w:val="32"/>
        </w:rPr>
        <w:t xml:space="preserve">    </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填报时间：</w:t>
      </w:r>
      <w:r>
        <w:rPr>
          <w:rStyle w:val="18"/>
          <w:rFonts w:hint="default" w:ascii="Times New Roman" w:hAnsi="Times New Roman" w:eastAsia="仿宋_GB2312" w:cs="Times New Roman"/>
          <w:b w:val="0"/>
          <w:spacing w:val="-4"/>
          <w:sz w:val="32"/>
          <w:szCs w:val="32"/>
        </w:rPr>
        <w:t>2025年03月10日</w:t>
      </w:r>
    </w:p>
    <w:p>
      <w:pPr>
        <w:spacing w:line="580" w:lineRule="exact"/>
        <w:ind w:firstLine="755" w:firstLineChars="236"/>
        <w:jc w:val="left"/>
        <w:rPr>
          <w:rFonts w:hint="default" w:ascii="Times New Roman" w:hAnsi="Times New Roman" w:eastAsia="仿宋_GB2312" w:cs="Times New Roman"/>
          <w:kern w:val="0"/>
          <w:sz w:val="32"/>
          <w:szCs w:val="32"/>
        </w:rPr>
      </w:pPr>
    </w:p>
    <w:p>
      <w:pPr>
        <w:spacing w:line="580" w:lineRule="exact"/>
        <w:rPr>
          <w:rStyle w:val="18"/>
          <w:rFonts w:hint="default" w:ascii="Times New Roman" w:hAnsi="Times New Roman" w:eastAsia="黑体" w:cs="Times New Roman"/>
          <w:b w:val="0"/>
          <w:spacing w:val="-4"/>
          <w:sz w:val="32"/>
          <w:szCs w:val="32"/>
        </w:rPr>
      </w:pPr>
    </w:p>
    <w:p>
      <w:pPr>
        <w:spacing w:line="580" w:lineRule="exact"/>
        <w:ind w:firstLine="640"/>
        <w:rPr>
          <w:rStyle w:val="18"/>
          <w:rFonts w:hint="default" w:ascii="Times New Roman" w:hAnsi="Times New Roman" w:eastAsia="黑体" w:cs="Times New Roman"/>
          <w:b w:val="0"/>
          <w:spacing w:val="-4"/>
          <w:sz w:val="32"/>
          <w:szCs w:val="32"/>
        </w:rPr>
        <w:sectPr>
          <w:footerReference r:id="rId3" w:type="default"/>
          <w:pgSz w:w="11906" w:h="16838"/>
          <w:pgMar w:top="2098" w:right="1531" w:bottom="1928" w:left="1531" w:header="851" w:footer="992" w:gutter="0"/>
          <w:pgNumType w:fmt="numberInDash"/>
          <w:cols w:space="425" w:num="1"/>
          <w:docGrid w:type="lines" w:linePitch="312" w:charSpace="0"/>
        </w:sectPr>
      </w:pPr>
    </w:p>
    <w:p>
      <w:pPr>
        <w:spacing w:line="580" w:lineRule="exact"/>
        <w:ind w:firstLine="64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一、基本情况</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楷体_GB2312" w:cs="Times New Roman"/>
          <w:b w:val="0"/>
          <w:spacing w:val="-4"/>
          <w:sz w:val="32"/>
          <w:szCs w:val="32"/>
        </w:rPr>
        <w:t>（一）项目概况</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1.项目背景</w:t>
      </w:r>
      <w:r>
        <w:rPr>
          <w:rStyle w:val="18"/>
          <w:rFonts w:hint="default" w:ascii="Times New Roman" w:hAnsi="Times New Roman" w:eastAsia="仿宋_GB2312" w:cs="Times New Roman"/>
          <w:b w:val="0"/>
          <w:spacing w:val="-4"/>
          <w:sz w:val="32"/>
          <w:szCs w:val="32"/>
        </w:rPr>
        <w:br w:type="textWrapping"/>
      </w:r>
      <w:r>
        <w:rPr>
          <w:rStyle w:val="18"/>
          <w:rFonts w:hint="eastAsia" w:eastAsia="仿宋_GB2312" w:cs="Times New Roman"/>
          <w:b w:val="0"/>
          <w:spacing w:val="-4"/>
          <w:sz w:val="32"/>
          <w:szCs w:val="32"/>
          <w:lang w:val="en-US" w:eastAsia="zh-CN"/>
        </w:rPr>
        <w:t xml:space="preserve">    </w:t>
      </w:r>
      <w:r>
        <w:rPr>
          <w:rStyle w:val="18"/>
          <w:rFonts w:hint="default" w:ascii="Times New Roman" w:hAnsi="Times New Roman" w:eastAsia="仿宋_GB2312" w:cs="Times New Roman"/>
          <w:b w:val="0"/>
          <w:spacing w:val="-4"/>
          <w:sz w:val="32"/>
          <w:szCs w:val="32"/>
        </w:rPr>
        <w:t>项目背景：党中央、国务院高度重视品牌发展工作。2014年5月10日，习近平总书记指示，要“推动中国制造向中国创造转变、中国速度向中国质量转变、中国产品向中国品牌转变”。李克强总理在《政府工作报告》中多次强调打造中国知名自主品牌。习近平总书记多次对品牌建设作出重要指示，要求加快“三个转变”，特别是2020年以来在各地考察时又着重指出，要“实现技术自立自强，做强做大民族品牌”“坚持绿色发展方向，强化品牌意识”，为我国品牌发展指明了方向。李克强总理连续4年对中国品牌日活动作出重要批示，提出殷切期望。2016年6月，国务院印发了《关于发挥品牌引领作用推动供需结构升级的意见》，提出设立“中国品牌日”，凝聚品牌发展社会共识，营造品牌发展良好氛围，搭建品牌发展交流平台，提高自主品牌影响力和认知度。2017年4月24日，国务院正式批复国家发展改革委《关于设立“中国品牌日”的请示》，同意自2017年起，将每年5月10日设定为“中国品牌日”。国家品牌战略开始深入实施。经党中央、国务院批准同意，2018年以来，国家发展改革委联合中宣部、工业和信息化部、农业农村部、商务部、市场监管总局、知识产权局等相关部委和上海市人民政府，定于每年5月10日</w:t>
      </w:r>
      <w:r>
        <w:rPr>
          <w:rStyle w:val="18"/>
          <w:rFonts w:hint="eastAsia" w:ascii="仿宋_GB2312" w:hAnsi="仿宋_GB2312" w:eastAsia="仿宋_GB2312" w:cs="仿宋_GB2312"/>
          <w:b w:val="0"/>
          <w:spacing w:val="-4"/>
          <w:sz w:val="32"/>
          <w:szCs w:val="32"/>
        </w:rPr>
        <w:t>—</w:t>
      </w:r>
      <w:r>
        <w:rPr>
          <w:rStyle w:val="18"/>
          <w:rFonts w:hint="default" w:ascii="Times New Roman" w:hAnsi="Times New Roman" w:eastAsia="仿宋_GB2312" w:cs="Times New Roman"/>
          <w:b w:val="0"/>
          <w:spacing w:val="-4"/>
          <w:sz w:val="32"/>
          <w:szCs w:val="32"/>
        </w:rPr>
        <w:t>12日，在上海举办中国品牌日活动（线上线下相结合），主要内容包括举办中国品牌博览会和中国品牌发展国际论坛，国务院领导同志出席活动。同时，要求各地组成代表团并由省（自治区、直辖市）政府领导同志带队赴上海参加活动。通过7年来中国品牌日活动的举办，我区品牌建设深入推进，有效释放内需潜力，国家发展改革委给与新疆高度评价，有力推动新疆自主品牌加快建设。为深入推进此项工作，特申请实施2024年中国品牌日活动经费项目。</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2.主要内容及实施情况</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主要内容：为深入落实党中央、国务院关于品牌发展的决策部署，激发消费潜力，根据《国家发展改革委办公厅关于做好参加2024年中国品牌日活动的通知》（发改办产业〔2024〕379号）要求，2024年，我委会同自治区工信厅、农业农村厅、科学技术厅、商务厅、市场监督管理局、文化和旅游厅、国资委等相关厅局，推荐并组织我区自主品牌企业赴上海参加2024年中国品牌日活动，并邀请自治区人民政府有关领导同志担任代表团团长出席活动。新疆展馆通过线上线下相结合的方式，全面展示我区品牌建设成就和特色优势产业发展的成果，推广新疆特色品牌文化理念，加快推动我区自主品牌建设。</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实施情况：此次活动分配我区展馆使用面积198平方米。新疆展馆以岛状展区分布打造通透、清爽的视觉空间氛围通过顶部流线结合数字环屏打造出“丝路明珠”的视觉意象。展馆设置丝路宝藏、丝路新风、丝路绿园、丝路锦绣、丝路魅力等5个不同板块围绕新疆制造、新疆绿能、特色农产品、纺织服装和文化旅游等方面重点展示新时代新征程上新疆高质量发展的澎湃动能强调了新疆自主品牌企业在参与丝路经济带建设中的创新意识和行动突出了新疆企业的品牌形象和价值向世界传递新疆企业积极参与全球经济合作的决心和信心。</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3.项目实施主体</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项目名称：2024年中国品牌日活动经费</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项目单位：新疆维吾尔自治区发展和改革委员会</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主管部门：新疆维吾尔自治区发展和改革委员会</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4.资金投入和使用情况</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根据《自治区发展改革委关于申请增加2024年中国品牌日活动经费的请示》文件预算安排资金120万元，实际支出117.48万元，预算执行率97.9%。</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楷体_GB2312" w:cs="Times New Roman"/>
          <w:b w:val="0"/>
          <w:spacing w:val="-4"/>
          <w:sz w:val="32"/>
          <w:szCs w:val="32"/>
        </w:rPr>
        <w:t>（二）项目绩效目标</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1.项目绩效总目标</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为加强自主品牌建设，激发企业创新创造活力，提高自主品牌影响力和认知度，根据国家发展改革委有关要求，2024年自治区发展改革委拟会同自治区工信厅、农业农村厅、科学技术厅、商务厅、市场监督管理局、文化和旅游厅、国资委等相关厅局，推荐并组织我区自主品牌企业赴上海参加2024年中国品牌日活动（线上线下同步开展）。通过活动的举办，全面展示我区品牌建设成就和特色优势产业发展的成果，推广新疆特色品牌文化理念，加快推动我区自主品牌建设，促进新疆品牌产品消费。</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2.阶段性目标</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2023年12月31日前将品牌日所需活动经费落实到位；2024年2月25日前确定自治区参加中国品牌日活动企业名单；3月15日前完成中国品牌日活动新疆展馆设计搭建项目及活动宣传等前期工作；5月9日之前完成活动现场搭建；5月30日前完成活动总结。</w:t>
      </w:r>
    </w:p>
    <w:p>
      <w:pPr>
        <w:spacing w:line="580" w:lineRule="exact"/>
        <w:ind w:firstLine="64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二、绩效评价工作开展情况</w:t>
      </w:r>
    </w:p>
    <w:p>
      <w:pPr>
        <w:spacing w:line="580" w:lineRule="exact"/>
        <w:ind w:firstLine="564" w:firstLineChars="181"/>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（一）绩效评价目的、对象和范围</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1.绩效评价目的</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2.绩效评价对象</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本次绩效评价遵循财政部《项目支出绩效评价管理办法》（财预〔2020〕10号）等相关政策文件与规定，以2024年中国品牌日项目支出为对象所对应的预算资金，以项目实施所带来的产出和效果为主要内容，以促进预算单位完成特定工作任务目标所组织开展的绩效评价。</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3.绩效评价范围</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本次评价范围涵盖项目总体绩效目标、各项绩效指标完成情况以及预算执行情况。覆盖项目预算资金支出的所有内容进行评价。包括项目决策、过程、项目实施和项目成果验收流程、项目达到的效益等。</w:t>
      </w:r>
    </w:p>
    <w:p>
      <w:pPr>
        <w:spacing w:line="580" w:lineRule="exact"/>
        <w:ind w:firstLine="564" w:firstLineChars="181"/>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（二）绩效评价原则、评价指标体系、评价方法、评价标准等。</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1.绩效评价原则</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本次绩效评价遵循的原则包括：</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（1）科学公正。绩效评价应当运用科学合理的方法，按照规范的程序，对项目绩效进行客观、公正的反映。</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（3）激励约束。绩效评价结果应与预算安排、政策调整、改进管理实质性挂钩，体现奖优罚劣和激励相容导向，有效要安排、低效要压减、无效要问责。</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（4）公开透明。绩效评价结果应依法依规公开，并自觉接受社会监督。</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2.绩效评价指标体系</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绩效评价指标体系根据《预算绩效评价共性指标体系框架》（财预〔2013〕53号）、《自治区党委 自治区人民政府关于全面实施预算绩效管理的实施意见》（新党发〔2018〕30号）、《关于印发&lt;项目支出绩效评价管理办法&gt;的通知》（财预</w:t>
      </w:r>
      <w:r>
        <w:rPr>
          <w:rStyle w:val="18"/>
          <w:rFonts w:hint="default" w:ascii="Times New Roman" w:hAnsi="Times New Roman" w:eastAsia="微软雅黑" w:cs="Times New Roman"/>
          <w:b w:val="0"/>
          <w:spacing w:val="-4"/>
          <w:sz w:val="32"/>
          <w:szCs w:val="32"/>
        </w:rPr>
        <w:t>﹝</w:t>
      </w:r>
      <w:r>
        <w:rPr>
          <w:rStyle w:val="18"/>
          <w:rFonts w:hint="default" w:ascii="Times New Roman" w:hAnsi="Times New Roman" w:eastAsia="仿宋_GB2312" w:cs="Times New Roman"/>
          <w:b w:val="0"/>
          <w:spacing w:val="-4"/>
          <w:sz w:val="32"/>
          <w:szCs w:val="32"/>
        </w:rPr>
        <w:t>2020</w:t>
      </w:r>
      <w:r>
        <w:rPr>
          <w:rStyle w:val="18"/>
          <w:rFonts w:hint="default" w:ascii="Times New Roman" w:hAnsi="Times New Roman" w:eastAsia="微软雅黑" w:cs="Times New Roman"/>
          <w:b w:val="0"/>
          <w:spacing w:val="-4"/>
          <w:sz w:val="32"/>
          <w:szCs w:val="32"/>
        </w:rPr>
        <w:t>﹞</w:t>
      </w:r>
      <w:r>
        <w:rPr>
          <w:rStyle w:val="18"/>
          <w:rFonts w:hint="default" w:ascii="Times New Roman" w:hAnsi="Times New Roman" w:eastAsia="仿宋_GB2312" w:cs="Times New Roman"/>
          <w:b w:val="0"/>
          <w:spacing w:val="-4"/>
          <w:sz w:val="32"/>
          <w:szCs w:val="32"/>
        </w:rPr>
        <w:t>10号）等文件精神，结合专项特点，在与专家组、项目充分协商的基础上，评价工作组细化了该项目的绩效评价指标体系：</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一级指标为：决策、过程、产出、效益。</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二级指标为：项目立项、绩效目标、资金投入、资金管理、组织实施、产出数量、产出质量、产出时效、产出成本、项目效益。</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3.绩效评价方法</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本次评价采用定量与定性评价相结合的比较法，公众评判法，        总分由各项指标得分汇总形成。比较法：通过整理本项目相关资料和数据，评价数量指标的完成情况；通过分析项目的实施情况与绩效目标实现情况，评价项目实施的效果；通过分析项目资金使用情况及产生的效果，评价预算资金分配的合理性。</w:t>
      </w:r>
    </w:p>
    <w:p>
      <w:pPr>
        <w:spacing w:line="580" w:lineRule="exact"/>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4.绩效评价标准</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w:t>
      </w:r>
    </w:p>
    <w:p>
      <w:pPr>
        <w:spacing w:line="580" w:lineRule="exact"/>
        <w:ind w:firstLine="564" w:firstLineChars="181"/>
        <w:rPr>
          <w:rStyle w:val="18"/>
          <w:rFonts w:hint="eastAsia" w:ascii="楷体_GB2312" w:hAnsi="楷体_GB2312" w:eastAsia="楷体_GB2312" w:cs="楷体_GB2312"/>
          <w:b w:val="0"/>
          <w:spacing w:val="-4"/>
          <w:sz w:val="32"/>
          <w:szCs w:val="32"/>
        </w:rPr>
      </w:pPr>
      <w:r>
        <w:rPr>
          <w:rStyle w:val="18"/>
          <w:rFonts w:hint="eastAsia" w:ascii="楷体_GB2312" w:hAnsi="楷体_GB2312" w:eastAsia="楷体_GB2312" w:cs="楷体_GB2312"/>
          <w:b w:val="0"/>
          <w:spacing w:val="-4"/>
          <w:sz w:val="32"/>
          <w:szCs w:val="32"/>
        </w:rPr>
        <w:t>（三）绩效评价工作过程</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第一阶段：前期准备。我单位绩效评价人员根据《项目支出绩效评价管理办法》（财预〔2020〕10号）文件精神认真学习相关要求与规定，成立绩效评价工作组，作为绩效评价工作具体实施机构。成员构成如下：</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黄宗亮任评价组组长，绩效评价工作职责为负责全盘工作。霍东亮任评价组副组长，绩效评价工作职责为对项目实施情况进行实地调查。李鑫任评价组成员，绩效评价工作职责为负责资料审核等工作。</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第二阶段：组织实施。经评价组通过实地调研、查阅资料等方式，采用综合分析法对项目的决策、管理、绩效进行的综合评价分析。</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第四阶段：撰写与提交评价报告。项目撰写绩效评价报告，按照财政局大平台绩效系统中统一格式和文本框架撰写绩效评价报告。</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第五阶段：归集档案。建立和落实档案管理制度，将项目相关资料存档，包括但不限于：评价项目基本情况和相关文件、评价实施方案、项目支付资料等相关档案。</w:t>
      </w:r>
    </w:p>
    <w:p>
      <w:pPr>
        <w:spacing w:line="580" w:lineRule="exact"/>
        <w:ind w:firstLine="64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三、综合评价情况及评价结论</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楷体_GB2312" w:cs="Times New Roman"/>
          <w:b w:val="0"/>
          <w:spacing w:val="-4"/>
          <w:sz w:val="32"/>
          <w:szCs w:val="32"/>
        </w:rPr>
        <w:t>（一）综合评价情况</w:t>
      </w:r>
      <w:r>
        <w:rPr>
          <w:rStyle w:val="18"/>
          <w:rFonts w:hint="default" w:ascii="Times New Roman" w:hAnsi="Times New Roman" w:eastAsia="楷体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2024年中国品牌日项目总体组织规范，完成了各项工作目标，本次活动的举办体现了国家对我区品牌建设工作的高度重视和殷切关怀，体现了品牌发展的多样性和活力，对推动我区本土企业树立品牌经济发展理念、坚定发展自主品牌信心、培养消费者自主品牌情感、满足人们物质文化需求、弘扬企业文化具有积极促进作用。</w:t>
      </w:r>
    </w:p>
    <w:p>
      <w:pPr>
        <w:spacing w:line="580" w:lineRule="exact"/>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 xml:space="preserve">    在项目决策方面，项目申请前期立项程序规范，项目严格按照规定的程序申请设立，项目立项依据充分，立项程序规范</w:t>
      </w:r>
      <w:r>
        <w:rPr>
          <w:rStyle w:val="18"/>
          <w:rFonts w:hint="eastAsia" w:eastAsia="仿宋_GB2312" w:cs="Times New Roman"/>
          <w:b w:val="0"/>
          <w:spacing w:val="-4"/>
          <w:sz w:val="32"/>
          <w:szCs w:val="32"/>
          <w:lang w:eastAsia="zh-CN"/>
        </w:rPr>
        <w:t>；在</w:t>
      </w:r>
      <w:r>
        <w:rPr>
          <w:rStyle w:val="18"/>
          <w:rFonts w:hint="default" w:ascii="Times New Roman" w:hAnsi="Times New Roman" w:eastAsia="仿宋_GB2312" w:cs="Times New Roman"/>
          <w:b w:val="0"/>
          <w:spacing w:val="-4"/>
          <w:sz w:val="32"/>
          <w:szCs w:val="32"/>
        </w:rPr>
        <w:t>项目管理方面，2024年本项目预算安排120万元，实际支出117.48万元，预算执行率97.9%。项目资金使用合规，项目财务管理制度健全，财务监控到位，所有资金支付均按照国库集中支付制度严格执行，现有项目管理制度执行情况良好</w:t>
      </w:r>
      <w:r>
        <w:rPr>
          <w:rStyle w:val="18"/>
          <w:rFonts w:hint="eastAsia" w:eastAsia="仿宋_GB2312" w:cs="Times New Roman"/>
          <w:b w:val="0"/>
          <w:spacing w:val="-4"/>
          <w:sz w:val="32"/>
          <w:szCs w:val="32"/>
          <w:lang w:eastAsia="zh-CN"/>
        </w:rPr>
        <w:t>；在</w:t>
      </w:r>
      <w:r>
        <w:rPr>
          <w:rStyle w:val="18"/>
          <w:rFonts w:hint="default" w:ascii="Times New Roman" w:hAnsi="Times New Roman" w:eastAsia="仿宋_GB2312" w:cs="Times New Roman"/>
          <w:b w:val="0"/>
          <w:spacing w:val="-4"/>
          <w:sz w:val="32"/>
          <w:szCs w:val="32"/>
        </w:rPr>
        <w:t>项目产出方面：紧扣各个环节，逐步推进，及时与职能部门跟踪项目进展，加强项目督办，充分调动职能部门的积极性，加大项目投入工作的力度，加快项目实施进度，确保项目严格按照年度预期目标执行</w:t>
      </w:r>
      <w:r>
        <w:rPr>
          <w:rStyle w:val="18"/>
          <w:rFonts w:hint="eastAsia" w:eastAsia="仿宋_GB2312" w:cs="Times New Roman"/>
          <w:b w:val="0"/>
          <w:spacing w:val="-4"/>
          <w:sz w:val="32"/>
          <w:szCs w:val="32"/>
          <w:lang w:eastAsia="zh-CN"/>
        </w:rPr>
        <w:t>；在</w:t>
      </w:r>
      <w:r>
        <w:rPr>
          <w:rStyle w:val="18"/>
          <w:rFonts w:hint="default" w:ascii="Times New Roman" w:hAnsi="Times New Roman" w:eastAsia="仿宋_GB2312" w:cs="Times New Roman"/>
          <w:b w:val="0"/>
          <w:spacing w:val="-4"/>
          <w:sz w:val="32"/>
          <w:szCs w:val="32"/>
        </w:rPr>
        <w:t>项目效益方面：按预定目标完成了年初所设定的各项指标。专项经费实际支出未超出预算规定。</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楷体_GB2312" w:cs="Times New Roman"/>
          <w:b w:val="0"/>
          <w:spacing w:val="-4"/>
          <w:sz w:val="32"/>
          <w:szCs w:val="32"/>
        </w:rPr>
        <w:t xml:space="preserve">    （二）综合评价结论</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运用项目组制定评价指标体系及财政部《项目支出绩效评价管理办法》（财预〔2020〕10号）文件评分标准进行评价，该项目最终评分99.65分，绩效评级为“优”，具体得分情况为：项目决策20分、项目过程19.9分、项目产出39.75分、项目效益20分。</w:t>
      </w:r>
    </w:p>
    <w:p>
      <w:pPr>
        <w:spacing w:line="580" w:lineRule="exact"/>
        <w:ind w:firstLine="640"/>
        <w:rPr>
          <w:rStyle w:val="18"/>
          <w:rFonts w:hint="default" w:ascii="Times New Roman" w:hAnsi="Times New Roman" w:eastAsia="黑体" w:cs="Times New Roman"/>
          <w:b w:val="0"/>
        </w:rPr>
      </w:pPr>
      <w:r>
        <w:rPr>
          <w:rStyle w:val="18"/>
          <w:rFonts w:hint="default" w:ascii="Times New Roman" w:hAnsi="Times New Roman" w:eastAsia="黑体" w:cs="Times New Roman"/>
          <w:b w:val="0"/>
          <w:spacing w:val="-4"/>
          <w:sz w:val="32"/>
          <w:szCs w:val="32"/>
        </w:rPr>
        <w:t xml:space="preserve">四、绩效评价指标分析 </w:t>
      </w:r>
    </w:p>
    <w:p>
      <w:pPr>
        <w:spacing w:line="580" w:lineRule="exact"/>
        <w:ind w:firstLine="564" w:firstLineChars="181"/>
        <w:rPr>
          <w:rFonts w:hint="default" w:ascii="Times New Roman" w:hAnsi="Times New Roman" w:eastAsia="楷体_GB2312" w:cs="Times New Roman"/>
          <w:spacing w:val="-4"/>
          <w:sz w:val="32"/>
          <w:szCs w:val="32"/>
        </w:rPr>
      </w:pPr>
      <w:r>
        <w:rPr>
          <w:rFonts w:hint="default" w:ascii="Times New Roman" w:hAnsi="Times New Roman" w:eastAsia="楷体_GB2312" w:cs="Times New Roman"/>
          <w:spacing w:val="-4"/>
          <w:sz w:val="32"/>
          <w:szCs w:val="32"/>
        </w:rPr>
        <w:t>（一）项目决策情况</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项目决策类指标包括项目立项、绩效目标和资金投入三方面的内容，由6个三级指标构成，权重分为20分，实际得分20分，得分率为100%。</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1.立项依据充分性：本项目根据《国家发展改革委办公厅关于做好参加2024年中国品牌日活动的通知》（发改办产业〔2024〕379号）立项，部门项目的立项依据充分，符合相关法规政策及部门职责。符合行业发展和政策要求，与部门职责范围相符，属于部门履职所需。符合中央、地方事权支出责任划分原则。根据评分标准，该指标不扣分，得3分。</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2.立项程序规范性：根据决策依据编制工作计划和经费预算，经过与分管领导进行沟通、筛选确定经费预算计划，上党委会研究确定最终预算方案，根据评分标准，该指标不扣分，得2分。</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3.绩效目标合理性：绩效目标与实际工作内容具有相关性，预期产出效益和效果符合正常的业绩水平，且与预算确定的项目投资额或资金量相匹配，根据评分标准，该指标不扣分，得3分。</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4.绩效指标明确性：将项目绩效目标细化分解为具体的绩效指标，9个三级指标，9个定量指标，量化率100%通过清晰、可衡量的指标值予以体现，与项目目标任务数或计划数相对应，根据评分标准，该指标不扣分，得2分。</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5.预算编制科学性：预算编制经过科学论证，内容与项目内容匹配，项目投资额与工作任务相匹配，根据评分标准，该指标不扣分，得5分。</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6.资金分配合理性：资金分配与实际相适应，根据评分标准，该指标不扣分，得5分。</w:t>
      </w:r>
    </w:p>
    <w:p>
      <w:pPr>
        <w:spacing w:line="580" w:lineRule="exact"/>
        <w:ind w:firstLine="564" w:firstLineChars="181"/>
        <w:rPr>
          <w:rFonts w:hint="default" w:ascii="Times New Roman" w:hAnsi="Times New Roman" w:eastAsia="楷体_GB2312" w:cs="Times New Roman"/>
          <w:spacing w:val="-4"/>
          <w:sz w:val="32"/>
          <w:szCs w:val="32"/>
        </w:rPr>
      </w:pPr>
      <w:r>
        <w:rPr>
          <w:rFonts w:hint="default" w:ascii="Times New Roman" w:hAnsi="Times New Roman" w:eastAsia="楷体_GB2312" w:cs="Times New Roman"/>
          <w:spacing w:val="-4"/>
          <w:sz w:val="32"/>
          <w:szCs w:val="32"/>
        </w:rPr>
        <w:t>（二）项目过程情况</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项目过程类指标包括资金管理和组织实施两方面的内容，由 5个三级指标构成，权重分为20分，实际得分19.9分，得分率为99.5%。</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1.资金到位率：项目预算数为120万元，财政资金足额拨付到位120万元，到位率为100%。我单位能够及时足额按照合同约定将资金预算执行到位，并做到专款专用，根据评分标准，该指标不扣分，得2分。</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2.预算执行率：预算编制较为详细，项目资金支出117.48万元，执行率97.9%。总体能够按照预算执行，根据评分标准，该指标扣0.1分，得4.9分。</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3.资金使用合规性：制定了相关的制度和管理规定对经费使用进行规范管理，财务制度健全、执行严格，根据评分标准，该指标不扣分，得5分。</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4.管理制度健全性：制定完善了《品牌日财务管理制度》对财政专项资金进行严格管理，基本做到了专款专用，根据评分标准，该指标不扣分，得4分。</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5.制度执行有效性：由部门提出经费预算支出可行性方案，经过与财务管领导沟通后，报党委会议研究执行，财务对资金的使用合法合规性进行监督，年底对资金使用效果进行自评，根据评分标准，该指标不扣分，得4分。</w:t>
      </w:r>
    </w:p>
    <w:p>
      <w:pPr>
        <w:spacing w:line="580" w:lineRule="exact"/>
        <w:ind w:firstLine="564" w:firstLineChars="181"/>
        <w:rPr>
          <w:rFonts w:hint="default" w:ascii="Times New Roman" w:hAnsi="Times New Roman" w:eastAsia="楷体_GB2312" w:cs="Times New Roman"/>
          <w:spacing w:val="-4"/>
          <w:sz w:val="32"/>
          <w:szCs w:val="32"/>
        </w:rPr>
      </w:pPr>
      <w:r>
        <w:rPr>
          <w:rFonts w:hint="default" w:ascii="Times New Roman" w:hAnsi="Times New Roman" w:eastAsia="楷体_GB2312" w:cs="Times New Roman"/>
          <w:spacing w:val="-4"/>
          <w:sz w:val="32"/>
          <w:szCs w:val="32"/>
        </w:rPr>
        <w:t>（三）项目产出情况</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项目产出类指标包括产出数量、产出质量、产出时效、产出成本三方面的内容，由8个三级指标构成，权重分为40分，实际得分39.75分，得分率为99.38%。</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1.对于“产出数量”。举办活动场次大于等于1次，实际完成1次，与预期目标一致，根据评分标准，该指标不扣分，得6分。</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举办活动天数大于等于4天，实际完成5天，完成目标天数，根据评分标准，该指标不扣分，得6分。偏差原因：按照国家有关通知要求，举办活动为2024年5月10日—5月14日，天数为5天。参加活动人数大于等于50人，实际完成50人，完成目标人数，根据评分标准，该指标不扣分，得6分。合计得18分。</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2.对于“产出质量”。资金使用合规率等于100%，实际完成100%，与预期目标一致，根据评分标准，该指标不扣分，得8分。</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3.对于“产出时效”。举办活动时间2024年5月31日，实际举办时间为2024年5月10日—5月14日，在目标预期时间内完成，根据评分标准，该指标不扣分，得6分。</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4.对于“产出成本”。线上线下新疆展馆设计布展、特色活动等费用小于等于60万元，实际完成59.95万元，指标完成率99.91%，根据评分标准，该指标扣0.01分，得2.99分。原因分析：坚持勤俭节约，尽量压缩开支。改进措施：认真落实预算目标，发挥资金更大成效。场租费用小于等于40万元，实际完成39.6万元，指标完成率99.91%，根据评分标准，该指标扣0.03分，得2.97分。原因分析：坚持勤俭节约，尽量压缩开支。改进措施：认真落实预算目标，发挥资金更大成效。活动保障、品牌宣传推广、会务费用小于等于20万元，实际完成17.93万元，指标完成率89.65%，根据评分标准，该指标扣0.21分，得1.79分。原因分析：坚持勤俭节约，尽量压缩开支。改进措施：认真落实预算目标，发挥资金更大成效。</w:t>
      </w:r>
    </w:p>
    <w:p>
      <w:pPr>
        <w:spacing w:line="580" w:lineRule="exact"/>
        <w:ind w:firstLine="564" w:firstLineChars="181"/>
        <w:rPr>
          <w:rFonts w:hint="default" w:ascii="Times New Roman" w:hAnsi="Times New Roman" w:eastAsia="楷体_GB2312" w:cs="Times New Roman"/>
          <w:spacing w:val="-4"/>
          <w:sz w:val="32"/>
          <w:szCs w:val="32"/>
        </w:rPr>
      </w:pPr>
      <w:r>
        <w:rPr>
          <w:rFonts w:hint="default" w:ascii="Times New Roman" w:hAnsi="Times New Roman" w:eastAsia="楷体_GB2312" w:cs="Times New Roman"/>
          <w:spacing w:val="-4"/>
          <w:sz w:val="32"/>
          <w:szCs w:val="32"/>
        </w:rPr>
        <w:t>（四）项目效益情况</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项目效益类指标包括项目效益1个方面的内容，由1个三级指标构成，权重分为20分，实际得分20分，得分率为100%。</w:t>
      </w:r>
    </w:p>
    <w:p>
      <w:pPr>
        <w:spacing w:line="58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1.满意度指标。对于满意度指标：参展企业满意度大于等于95%，实际完成100%，与预期目标一致，根据评分标准，该指标不扣分,得20分。</w:t>
      </w:r>
    </w:p>
    <w:p>
      <w:pPr>
        <w:spacing w:line="580" w:lineRule="exact"/>
        <w:ind w:firstLine="64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五、主要经验及做法、存在的问题及原因分析</w:t>
      </w:r>
    </w:p>
    <w:p>
      <w:pPr>
        <w:spacing w:line="58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2024年中国品牌日活动项目预算120万元，到位120万元，实际支出117.48万元，预算执行率为97.9%，项目绩效指标总体完成率为101.61%。偏差率3.71%，偏差原因：成本指标中展馆设计布展、场地租赁费、活动保障等费用在使用过程中坚持勤俭节约，尽量压缩开支。改进措施：认真落实预算目标，发挥资金更大成效。</w:t>
      </w:r>
    </w:p>
    <w:p>
      <w:pPr>
        <w:spacing w:line="580" w:lineRule="exact"/>
        <w:ind w:firstLine="624" w:firstLineChars="20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六、有关建议</w:t>
      </w:r>
    </w:p>
    <w:p>
      <w:pPr>
        <w:spacing w:line="58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楷体_GB2312" w:cs="Times New Roman"/>
          <w:b w:val="0"/>
          <w:spacing w:val="-4"/>
          <w:sz w:val="32"/>
          <w:szCs w:val="32"/>
        </w:rPr>
        <w:t>（一）提升品牌意识</w:t>
      </w:r>
      <w:r>
        <w:rPr>
          <w:rStyle w:val="18"/>
          <w:rFonts w:hint="default" w:ascii="Times New Roman" w:hAnsi="Times New Roman" w:eastAsia="楷体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一是加强品牌教育与培训。企业应定期组织管理层员工参加品牌建设相关的培训课程系统学习品牌管理、品牌战略等方面的知识。二是定期开展品牌知识分享会，营造全员关注品牌、参与品牌建设的良好氛围。</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w:t>
      </w:r>
      <w:r>
        <w:rPr>
          <w:rStyle w:val="18"/>
          <w:rFonts w:hint="default" w:ascii="Times New Roman" w:hAnsi="Times New Roman" w:eastAsia="楷体_GB2312" w:cs="Times New Roman"/>
          <w:b w:val="0"/>
          <w:spacing w:val="-4"/>
          <w:sz w:val="32"/>
          <w:szCs w:val="32"/>
        </w:rPr>
        <w:t>（二）强化品牌文化建设</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一是将品牌理念融入企业文化的核心。明确品牌定位和价值观，并通过企业内部宣传渠道进行广泛传播。二是在企业内部树立品牌榜样，表彰企业在品牌建设中表现突出的团队和个人，激励全体员工积极参与品牌建设。</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楷体_GB2312" w:cs="Times New Roman"/>
          <w:b w:val="0"/>
          <w:spacing w:val="-4"/>
          <w:sz w:val="32"/>
          <w:szCs w:val="32"/>
        </w:rPr>
        <w:t xml:space="preserve">    （三）提升科研能力</w:t>
      </w:r>
      <w:r>
        <w:rPr>
          <w:rStyle w:val="18"/>
          <w:rFonts w:hint="default" w:ascii="Times New Roman" w:hAnsi="Times New Roman" w:eastAsia="仿宋_GB2312" w:cs="Times New Roman"/>
          <w:b w:val="0"/>
          <w:spacing w:val="-4"/>
          <w:sz w:val="32"/>
          <w:szCs w:val="32"/>
        </w:rPr>
        <w:br w:type="textWrapping"/>
      </w:r>
      <w:r>
        <w:rPr>
          <w:rStyle w:val="18"/>
          <w:rFonts w:hint="default" w:ascii="Times New Roman" w:hAnsi="Times New Roman" w:eastAsia="仿宋_GB2312" w:cs="Times New Roman"/>
          <w:b w:val="0"/>
          <w:spacing w:val="-4"/>
          <w:sz w:val="32"/>
          <w:szCs w:val="32"/>
        </w:rPr>
        <w:t xml:space="preserve">    一是加大研发投入。设立专门的研发预算，确保每年有一定比例的销售收入投入到新产品、新技术的研发中，逐步提升企业的科研投入占比。二是与高校、科研机构建立产学研合作机制，共同开展科研项目，借助外部科研力量提升企业的科研水平。</w:t>
      </w:r>
    </w:p>
    <w:p>
      <w:pPr>
        <w:spacing w:line="580" w:lineRule="exact"/>
        <w:ind w:firstLine="567"/>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七、其他需要说明的问题</w:t>
      </w:r>
    </w:p>
    <w:p>
      <w:pPr>
        <w:spacing w:line="58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我单位对上述项目支出绩效评价报告内反映内容的真实性、完整性负责，接受上级部门及社会公众监督。</w:t>
      </w:r>
    </w:p>
    <w:p>
      <w:pPr>
        <w:spacing w:line="580" w:lineRule="exact"/>
        <w:ind w:firstLine="567"/>
        <w:rPr>
          <w:rStyle w:val="18"/>
          <w:rFonts w:hint="default" w:ascii="Times New Roman" w:hAnsi="Times New Roman" w:eastAsia="仿宋_GB2312" w:cs="Times New Roman"/>
          <w:b w:val="0"/>
          <w:spacing w:val="-4"/>
          <w:sz w:val="32"/>
          <w:szCs w:val="32"/>
        </w:rPr>
      </w:pPr>
    </w:p>
    <w:p>
      <w:pPr>
        <w:spacing w:line="580" w:lineRule="exact"/>
        <w:ind w:firstLine="567"/>
        <w:rPr>
          <w:rStyle w:val="18"/>
          <w:rFonts w:hint="default" w:ascii="Times New Roman" w:hAnsi="Times New Roman" w:eastAsia="仿宋" w:cs="Times New Roman"/>
          <w:b w:val="0"/>
          <w:spacing w:val="-4"/>
          <w:sz w:val="32"/>
          <w:szCs w:val="32"/>
        </w:rPr>
      </w:pPr>
    </w:p>
    <w:p>
      <w:pPr>
        <w:spacing w:line="580" w:lineRule="exact"/>
        <w:ind w:firstLine="567"/>
        <w:rPr>
          <w:rStyle w:val="18"/>
          <w:rFonts w:hint="default" w:ascii="Times New Roman" w:hAnsi="Times New Roman" w:eastAsia="仿宋" w:cs="Times New Roman"/>
          <w:b w:val="0"/>
          <w:spacing w:val="-4"/>
          <w:sz w:val="32"/>
          <w:szCs w:val="32"/>
        </w:rPr>
      </w:pPr>
    </w:p>
    <w:p>
      <w:pPr>
        <w:spacing w:line="580" w:lineRule="exact"/>
        <w:ind w:firstLine="567"/>
        <w:rPr>
          <w:rStyle w:val="18"/>
          <w:rFonts w:hint="default" w:ascii="Times New Roman" w:hAnsi="Times New Roman" w:eastAsia="仿宋" w:cs="Times New Roman"/>
          <w:b w:val="0"/>
          <w:spacing w:val="-4"/>
          <w:sz w:val="32"/>
          <w:szCs w:val="32"/>
        </w:rPr>
      </w:pPr>
    </w:p>
    <w:p>
      <w:pPr>
        <w:spacing w:line="580" w:lineRule="exact"/>
        <w:ind w:firstLine="567"/>
        <w:rPr>
          <w:rStyle w:val="18"/>
          <w:rFonts w:hint="default" w:ascii="Times New Roman" w:hAnsi="Times New Roman" w:eastAsia="仿宋" w:cs="Times New Roman"/>
          <w:b w:val="0"/>
          <w:spacing w:val="-4"/>
          <w:sz w:val="32"/>
          <w:szCs w:val="32"/>
        </w:rPr>
      </w:pPr>
    </w:p>
    <w:p>
      <w:pPr>
        <w:spacing w:line="580" w:lineRule="exact"/>
        <w:ind w:firstLine="567"/>
        <w:rPr>
          <w:rStyle w:val="18"/>
          <w:rFonts w:hint="default" w:ascii="Times New Roman" w:hAnsi="Times New Roman" w:eastAsia="仿宋" w:cs="Times New Roman"/>
          <w:b w:val="0"/>
          <w:spacing w:val="-4"/>
          <w:sz w:val="32"/>
          <w:szCs w:val="32"/>
        </w:rPr>
      </w:pPr>
    </w:p>
    <w:p>
      <w:pPr>
        <w:spacing w:line="580" w:lineRule="exact"/>
        <w:rPr>
          <w:rStyle w:val="18"/>
          <w:rFonts w:hint="default" w:ascii="Times New Roman" w:hAnsi="Times New Roman" w:eastAsia="仿宋" w:cs="Times New Roman"/>
          <w:b w:val="0"/>
          <w:spacing w:val="-4"/>
          <w:sz w:val="32"/>
          <w:szCs w:val="32"/>
        </w:rPr>
      </w:pPr>
    </w:p>
    <w:sectPr>
      <w:footerReference r:id="rId4" w:type="default"/>
      <w:pgSz w:w="11906" w:h="16838"/>
      <w:pgMar w:top="2098" w:right="1531" w:bottom="1928" w:left="1531"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22003363"/>
                          </w:sdtPr>
                          <w:sdtEndPr>
                            <w:rPr>
                              <w:rFonts w:hint="eastAsia" w:asciiTheme="minorEastAsia" w:hAnsiTheme="minorEastAsia" w:eastAsiaTheme="minorEastAsia" w:cstheme="minorEastAsia"/>
                              <w:sz w:val="28"/>
                              <w:szCs w:val="28"/>
                            </w:rPr>
                          </w:sdtEndPr>
                          <w:sdtContent>
                            <w:p>
                              <w:pPr>
                                <w:pStyle w:val="12"/>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14</w:t>
                              </w:r>
                              <w:r>
                                <w:rPr>
                                  <w:rFonts w:hint="eastAsia" w:asciiTheme="minorEastAsia" w:hAnsiTheme="minorEastAsia" w:eastAsiaTheme="minorEastAsia" w:cstheme="minorEastAsia"/>
                                  <w:sz w:val="28"/>
                                  <w:szCs w:val="28"/>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sdt>
                    <w:sdtPr>
                      <w:id w:val="422003363"/>
                    </w:sdtPr>
                    <w:sdtEndPr>
                      <w:rPr>
                        <w:rFonts w:hint="eastAsia" w:asciiTheme="minorEastAsia" w:hAnsiTheme="minorEastAsia" w:eastAsiaTheme="minorEastAsia" w:cstheme="minorEastAsia"/>
                        <w:sz w:val="28"/>
                        <w:szCs w:val="28"/>
                      </w:rPr>
                    </w:sdtEndPr>
                    <w:sdtContent>
                      <w:p>
                        <w:pPr>
                          <w:pStyle w:val="12"/>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14</w:t>
                        </w:r>
                        <w:r>
                          <w:rPr>
                            <w:rFonts w:hint="eastAsia" w:asciiTheme="minorEastAsia" w:hAnsiTheme="minorEastAsia" w:eastAsiaTheme="minorEastAsia" w:cstheme="minorEastAsia"/>
                            <w:sz w:val="28"/>
                            <w:szCs w:val="28"/>
                          </w:rPr>
                          <w:fldChar w:fldCharType="end"/>
                        </w:r>
                      </w:p>
                    </w:sdtContent>
                  </w:sdt>
                  <w:p/>
                </w:txbxContent>
              </v:textbox>
            </v:shape>
          </w:pict>
        </mc:Fallback>
      </mc:AlternateContent>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A07B8"/>
    <w:rsid w:val="001028C5"/>
    <w:rsid w:val="00102DFF"/>
    <w:rsid w:val="00121AE4"/>
    <w:rsid w:val="0014601B"/>
    <w:rsid w:val="00146AAD"/>
    <w:rsid w:val="00150F05"/>
    <w:rsid w:val="001B3A40"/>
    <w:rsid w:val="001C71AA"/>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8D5953"/>
    <w:rsid w:val="0091457F"/>
    <w:rsid w:val="00922CB9"/>
    <w:rsid w:val="00925D36"/>
    <w:rsid w:val="00944DD1"/>
    <w:rsid w:val="009E5CD9"/>
    <w:rsid w:val="009F4373"/>
    <w:rsid w:val="00A00E2C"/>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A0AD5"/>
    <w:rsid w:val="00DB1661"/>
    <w:rsid w:val="00DF42A0"/>
    <w:rsid w:val="00DF50C0"/>
    <w:rsid w:val="00E30E91"/>
    <w:rsid w:val="00E769FE"/>
    <w:rsid w:val="00E774CE"/>
    <w:rsid w:val="00E96D03"/>
    <w:rsid w:val="00EA2CBE"/>
    <w:rsid w:val="00EB10A0"/>
    <w:rsid w:val="00F32FEE"/>
    <w:rsid w:val="00FB10BB"/>
    <w:rsid w:val="0CB44F22"/>
    <w:rsid w:val="4C3D1751"/>
    <w:rsid w:val="4D2606A1"/>
    <w:rsid w:val="5F8F44CF"/>
    <w:rsid w:val="69FBDA48"/>
    <w:rsid w:val="7E5F1C44"/>
    <w:rsid w:val="F6BF6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1130</Words>
  <Characters>6442</Characters>
  <Lines>53</Lines>
  <Paragraphs>15</Paragraphs>
  <TotalTime>6</TotalTime>
  <ScaleCrop>false</ScaleCrop>
  <LinksUpToDate>false</LinksUpToDate>
  <CharactersWithSpaces>7557</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2018-08-15T18:06:00Z</dcterms:created>
  <dc:creator>赵 恺（预算处）</dc:creator>
  <cp:lastModifiedBy>fgw</cp:lastModifiedBy>
  <cp:lastPrinted>2019-01-01T02:56:00Z</cp:lastPrinted>
  <dcterms:modified xsi:type="dcterms:W3CDTF">2025-08-15T19:53:38Z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160D1BA1944349B08C48068401F6E698</vt:lpwstr>
  </property>
</Properties>
</file>