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3E14F2">
      <w:pPr>
        <w:spacing w:line="580" w:lineRule="exact"/>
        <w:jc w:val="center"/>
        <w:rPr>
          <w:rFonts w:hint="default" w:ascii="Times New Roman" w:hAnsi="Times New Roman" w:eastAsia="华文中宋" w:cs="Times New Roman"/>
          <w:b/>
          <w:kern w:val="0"/>
          <w:sz w:val="52"/>
          <w:szCs w:val="52"/>
        </w:rPr>
      </w:pPr>
    </w:p>
    <w:p w14:paraId="3BDFA66D">
      <w:pPr>
        <w:spacing w:line="580" w:lineRule="exact"/>
        <w:jc w:val="center"/>
        <w:rPr>
          <w:rFonts w:hint="default" w:ascii="Times New Roman" w:hAnsi="Times New Roman" w:eastAsia="华文中宋" w:cs="Times New Roman"/>
          <w:b/>
          <w:kern w:val="0"/>
          <w:sz w:val="52"/>
          <w:szCs w:val="52"/>
        </w:rPr>
      </w:pPr>
    </w:p>
    <w:p w14:paraId="77A26D81">
      <w:pPr>
        <w:spacing w:line="580" w:lineRule="exact"/>
        <w:jc w:val="center"/>
        <w:rPr>
          <w:rFonts w:hint="default" w:ascii="Times New Roman" w:hAnsi="Times New Roman" w:eastAsia="华文中宋" w:cs="Times New Roman"/>
          <w:b/>
          <w:kern w:val="0"/>
          <w:sz w:val="52"/>
          <w:szCs w:val="52"/>
        </w:rPr>
      </w:pPr>
    </w:p>
    <w:p w14:paraId="49022615">
      <w:pPr>
        <w:spacing w:line="580" w:lineRule="exact"/>
        <w:jc w:val="center"/>
        <w:rPr>
          <w:rFonts w:hint="default" w:ascii="Times New Roman" w:hAnsi="Times New Roman" w:eastAsia="华文中宋" w:cs="Times New Roman"/>
          <w:b/>
          <w:kern w:val="0"/>
          <w:sz w:val="52"/>
          <w:szCs w:val="52"/>
        </w:rPr>
      </w:pPr>
    </w:p>
    <w:p w14:paraId="167B6E38">
      <w:pPr>
        <w:spacing w:line="580" w:lineRule="exact"/>
        <w:jc w:val="center"/>
        <w:rPr>
          <w:rFonts w:hint="default" w:ascii="Times New Roman" w:hAnsi="Times New Roman" w:eastAsia="华文中宋" w:cs="Times New Roman"/>
          <w:b/>
          <w:kern w:val="0"/>
          <w:sz w:val="52"/>
          <w:szCs w:val="52"/>
        </w:rPr>
      </w:pPr>
    </w:p>
    <w:p w14:paraId="0017FB52">
      <w:pPr>
        <w:spacing w:line="580" w:lineRule="exact"/>
        <w:jc w:val="center"/>
        <w:rPr>
          <w:rFonts w:hint="default" w:ascii="Times New Roman" w:hAnsi="Times New Roman" w:eastAsia="华文中宋" w:cs="Times New Roman"/>
          <w:b/>
          <w:kern w:val="0"/>
          <w:sz w:val="52"/>
          <w:szCs w:val="52"/>
        </w:rPr>
      </w:pPr>
    </w:p>
    <w:p w14:paraId="087C3EC9">
      <w:pPr>
        <w:spacing w:line="580" w:lineRule="exact"/>
        <w:jc w:val="center"/>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自治区财政项目支出绩效自评报告</w:t>
      </w:r>
    </w:p>
    <w:p w14:paraId="311B13DA">
      <w:pPr>
        <w:spacing w:line="580" w:lineRule="exact"/>
        <w:jc w:val="center"/>
        <w:rPr>
          <w:rFonts w:hint="default" w:ascii="Times New Roman" w:hAnsi="Times New Roman" w:eastAsia="华文中宋" w:cs="Times New Roman"/>
          <w:b/>
          <w:kern w:val="0"/>
          <w:sz w:val="52"/>
          <w:szCs w:val="52"/>
        </w:rPr>
      </w:pPr>
    </w:p>
    <w:p w14:paraId="5D37ED81">
      <w:pPr>
        <w:spacing w:line="58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2024</w:t>
      </w:r>
      <w:r>
        <w:rPr>
          <w:rFonts w:hint="default" w:ascii="Times New Roman" w:hAnsi="Times New Roman" w:eastAsia="仿宋_GB2312" w:cs="Times New Roman"/>
          <w:kern w:val="0"/>
          <w:sz w:val="36"/>
          <w:szCs w:val="36"/>
        </w:rPr>
        <w:t>年度）</w:t>
      </w:r>
    </w:p>
    <w:p w14:paraId="383AA470">
      <w:pPr>
        <w:spacing w:line="580" w:lineRule="exact"/>
        <w:jc w:val="center"/>
        <w:rPr>
          <w:rFonts w:hint="default" w:ascii="Times New Roman" w:hAnsi="Times New Roman" w:eastAsia="仿宋_GB2312" w:cs="Times New Roman"/>
          <w:kern w:val="0"/>
          <w:sz w:val="30"/>
          <w:szCs w:val="30"/>
        </w:rPr>
      </w:pPr>
    </w:p>
    <w:p w14:paraId="59193203">
      <w:pPr>
        <w:spacing w:line="580" w:lineRule="exact"/>
        <w:jc w:val="center"/>
        <w:rPr>
          <w:rFonts w:hint="default" w:ascii="Times New Roman" w:hAnsi="Times New Roman" w:eastAsia="仿宋_GB2312" w:cs="Times New Roman"/>
          <w:kern w:val="0"/>
          <w:sz w:val="30"/>
          <w:szCs w:val="30"/>
        </w:rPr>
      </w:pPr>
    </w:p>
    <w:p w14:paraId="040F18A0">
      <w:pPr>
        <w:spacing w:line="580" w:lineRule="exact"/>
        <w:jc w:val="center"/>
        <w:rPr>
          <w:rFonts w:hint="default" w:ascii="Times New Roman" w:hAnsi="Times New Roman" w:eastAsia="仿宋_GB2312" w:cs="Times New Roman"/>
          <w:kern w:val="0"/>
          <w:sz w:val="30"/>
          <w:szCs w:val="30"/>
        </w:rPr>
      </w:pPr>
    </w:p>
    <w:p w14:paraId="6C7E57DB">
      <w:pPr>
        <w:spacing w:line="580" w:lineRule="exact"/>
        <w:jc w:val="center"/>
        <w:rPr>
          <w:rFonts w:hint="default" w:ascii="Times New Roman" w:hAnsi="Times New Roman" w:eastAsia="仿宋_GB2312" w:cs="Times New Roman"/>
          <w:kern w:val="0"/>
          <w:sz w:val="30"/>
          <w:szCs w:val="30"/>
        </w:rPr>
      </w:pPr>
    </w:p>
    <w:p w14:paraId="5DFBF053">
      <w:pPr>
        <w:spacing w:line="580" w:lineRule="exact"/>
        <w:jc w:val="center"/>
        <w:rPr>
          <w:rFonts w:hint="default" w:ascii="Times New Roman" w:hAnsi="Times New Roman" w:eastAsia="仿宋_GB2312" w:cs="Times New Roman"/>
          <w:kern w:val="0"/>
          <w:sz w:val="30"/>
          <w:szCs w:val="30"/>
        </w:rPr>
      </w:pPr>
    </w:p>
    <w:p w14:paraId="39675471">
      <w:pPr>
        <w:spacing w:line="580" w:lineRule="exact"/>
        <w:rPr>
          <w:rFonts w:hint="default" w:ascii="Times New Roman" w:hAnsi="Times New Roman" w:eastAsia="仿宋_GB2312" w:cs="Times New Roman"/>
          <w:kern w:val="0"/>
          <w:sz w:val="30"/>
          <w:szCs w:val="30"/>
        </w:rPr>
      </w:pPr>
    </w:p>
    <w:p w14:paraId="35BC8913">
      <w:pPr>
        <w:spacing w:line="580" w:lineRule="exact"/>
        <w:ind w:firstLine="640" w:firstLineChars="200"/>
        <w:jc w:val="left"/>
        <w:rPr>
          <w:rFonts w:hint="default" w:ascii="Times New Roman" w:hAnsi="Times New Roman" w:eastAsia="仿宋_GB2312" w:cs="Times New Roman"/>
          <w:b/>
          <w:kern w:val="0"/>
          <w:sz w:val="36"/>
          <w:szCs w:val="36"/>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项目名称：</w:t>
      </w:r>
      <w:r>
        <w:rPr>
          <w:rStyle w:val="18"/>
          <w:rFonts w:hint="default" w:ascii="Times New Roman" w:hAnsi="Times New Roman" w:eastAsia="仿宋_GB2312" w:cs="Times New Roman"/>
          <w:b w:val="0"/>
          <w:spacing w:val="-4"/>
          <w:sz w:val="32"/>
          <w:szCs w:val="32"/>
        </w:rPr>
        <w:t>2024年自治区全社会节能减排专项资金</w:t>
      </w:r>
    </w:p>
    <w:p w14:paraId="36497582">
      <w:pPr>
        <w:spacing w:line="58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实施单位：</w:t>
      </w:r>
      <w:r>
        <w:rPr>
          <w:rStyle w:val="18"/>
          <w:rFonts w:hint="default" w:ascii="Times New Roman" w:hAnsi="Times New Roman" w:eastAsia="仿宋_GB2312" w:cs="Times New Roman"/>
          <w:b w:val="0"/>
          <w:spacing w:val="-4"/>
          <w:sz w:val="32"/>
          <w:szCs w:val="32"/>
        </w:rPr>
        <w:t>新疆维吾尔自治区发展和改革委员会</w:t>
      </w:r>
    </w:p>
    <w:p w14:paraId="46B48655">
      <w:pPr>
        <w:spacing w:line="580" w:lineRule="exact"/>
        <w:ind w:firstLine="640" w:firstLineChars="200"/>
        <w:rPr>
          <w:rFonts w:hint="default" w:ascii="Times New Roman" w:hAnsi="Times New Roman" w:eastAsia="仿宋_GB2312" w:cs="Times New Roman"/>
          <w:bCs/>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主管部门：</w:t>
      </w:r>
      <w:r>
        <w:rPr>
          <w:rStyle w:val="18"/>
          <w:rFonts w:hint="default" w:ascii="Times New Roman" w:hAnsi="Times New Roman" w:eastAsia="仿宋_GB2312" w:cs="Times New Roman"/>
          <w:b w:val="0"/>
          <w:spacing w:val="-4"/>
          <w:sz w:val="32"/>
          <w:szCs w:val="32"/>
        </w:rPr>
        <w:t>新疆维吾尔自治区发展和改革委员会</w:t>
      </w:r>
    </w:p>
    <w:p w14:paraId="26854CED">
      <w:pPr>
        <w:spacing w:line="58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项目负责人：</w:t>
      </w:r>
      <w:r>
        <w:rPr>
          <w:rStyle w:val="18"/>
          <w:rFonts w:hint="default" w:ascii="Times New Roman" w:hAnsi="Times New Roman" w:eastAsia="仿宋_GB2312" w:cs="Times New Roman"/>
          <w:b w:val="0"/>
          <w:spacing w:val="-4"/>
          <w:sz w:val="32"/>
          <w:szCs w:val="32"/>
        </w:rPr>
        <w:t>徐忠</w:t>
      </w:r>
    </w:p>
    <w:p w14:paraId="69A86ABD">
      <w:pPr>
        <w:spacing w:line="580" w:lineRule="exact"/>
        <w:ind w:firstLine="640" w:firstLineChars="200"/>
        <w:rPr>
          <w:rStyle w:val="18"/>
          <w:rFonts w:hint="default" w:ascii="Times New Roman" w:hAnsi="Times New Roman" w:eastAsia="仿宋_GB2312" w:cs="Times New Roman"/>
          <w:spacing w:val="-4"/>
          <w:sz w:val="32"/>
          <w:szCs w:val="32"/>
        </w:rPr>
      </w:pP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填报时间：</w:t>
      </w:r>
      <w:r>
        <w:rPr>
          <w:rStyle w:val="18"/>
          <w:rFonts w:hint="default" w:ascii="Times New Roman" w:hAnsi="Times New Roman" w:eastAsia="仿宋_GB2312" w:cs="Times New Roman"/>
          <w:b w:val="0"/>
          <w:spacing w:val="-4"/>
          <w:sz w:val="32"/>
          <w:szCs w:val="32"/>
        </w:rPr>
        <w:t>2025年03月10日</w:t>
      </w:r>
    </w:p>
    <w:p w14:paraId="374BEBB9">
      <w:pPr>
        <w:spacing w:line="580" w:lineRule="exact"/>
        <w:ind w:firstLine="708" w:firstLineChars="236"/>
        <w:jc w:val="left"/>
        <w:rPr>
          <w:rFonts w:hint="default" w:ascii="Times New Roman" w:hAnsi="Times New Roman" w:eastAsia="仿宋_GB2312" w:cs="Times New Roman"/>
          <w:kern w:val="0"/>
          <w:sz w:val="30"/>
          <w:szCs w:val="30"/>
        </w:rPr>
      </w:pPr>
    </w:p>
    <w:p w14:paraId="4C4CFAF1">
      <w:pPr>
        <w:spacing w:line="580" w:lineRule="exact"/>
        <w:ind w:firstLine="708" w:firstLineChars="236"/>
        <w:jc w:val="left"/>
        <w:rPr>
          <w:rFonts w:hint="default" w:ascii="Times New Roman" w:hAnsi="Times New Roman" w:eastAsia="仿宋_GB2312" w:cs="Times New Roman"/>
          <w:kern w:val="0"/>
          <w:sz w:val="30"/>
          <w:szCs w:val="30"/>
        </w:rPr>
      </w:pPr>
    </w:p>
    <w:p w14:paraId="03B2EC79">
      <w:pPr>
        <w:spacing w:line="580" w:lineRule="exact"/>
        <w:ind w:firstLine="640"/>
        <w:rPr>
          <w:rStyle w:val="18"/>
          <w:rFonts w:hint="default" w:ascii="Times New Roman" w:hAnsi="Times New Roman" w:eastAsia="黑体" w:cs="Times New Roman"/>
          <w:b w:val="0"/>
          <w:spacing w:val="-4"/>
          <w:sz w:val="32"/>
          <w:szCs w:val="32"/>
        </w:rPr>
        <w:sectPr>
          <w:footerReference r:id="rId3" w:type="default"/>
          <w:pgSz w:w="11906" w:h="16838"/>
          <w:pgMar w:top="2098" w:right="1531" w:bottom="1928" w:left="1531" w:header="851" w:footer="992" w:gutter="0"/>
          <w:pgNumType w:fmt="numberInDash"/>
          <w:cols w:space="425" w:num="1"/>
          <w:docGrid w:type="lines" w:linePitch="312" w:charSpace="0"/>
        </w:sectPr>
      </w:pPr>
    </w:p>
    <w:p w14:paraId="555597EA">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一、基本情况</w:t>
      </w:r>
    </w:p>
    <w:p w14:paraId="3F2A39CF">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（一）项目概况</w:t>
      </w:r>
    </w:p>
    <w:p w14:paraId="479E2757">
      <w:pPr>
        <w:spacing w:line="580" w:lineRule="exact"/>
        <w:ind w:firstLine="567"/>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1.</w:t>
      </w:r>
      <w:r>
        <w:rPr>
          <w:rStyle w:val="18"/>
          <w:rFonts w:hint="default" w:ascii="Times New Roman" w:hAnsi="Times New Roman" w:eastAsia="仿宋_GB2312" w:cs="Times New Roman"/>
          <w:b w:val="0"/>
          <w:spacing w:val="-4"/>
          <w:sz w:val="32"/>
          <w:szCs w:val="32"/>
        </w:rPr>
        <w:t>本项目主要建设内容：实施自治区党委集中办公区节能改造、新疆迎宾馆节能改造、自治区西后街联合办公区节能改造、自治区公共机构节约能源资源教育实训馆示范节能优化、自治区区级机关联合办公大院节能改造、自治区工业和信息化厅机关办公楼节能改造等6个公共机构节能改造项目；支持新疆建设职业技术学院建工校区学生宿舍楼节能建筑、G30连霍高速哈密服务区分布式光伏供电改造2个重点领域节能示范项目；实施自治区公共机构节能与资产管理一体化平台建设、自治区公共机构节能管理能力提升2个节能能力建设项目。委托开展节能降碳领域重点问题课题研究、开展“十五五”碳排放双</w:t>
      </w:r>
      <w:bookmarkStart w:id="0" w:name="_GoBack"/>
      <w:bookmarkEnd w:id="0"/>
      <w:r>
        <w:rPr>
          <w:rStyle w:val="18"/>
          <w:rFonts w:hint="default" w:ascii="Times New Roman" w:hAnsi="Times New Roman" w:eastAsia="仿宋_GB2312" w:cs="Times New Roman"/>
          <w:b w:val="0"/>
          <w:spacing w:val="-4"/>
          <w:sz w:val="32"/>
          <w:szCs w:val="32"/>
        </w:rPr>
        <w:t>控制度研究、“十四五”能耗双控评价和“十五五”碳减排工作基础研究、开展生态产品价值实现机制基础研究、固定资产投资项目节能审查评审，开展自治区重点耗能企业能碳监测和碳足迹应用研究项目，实施自治区重点用能单位能源利用状况核查、节能诊断及电力行业建设和运行情况监测项目，支持能源统计能力建设项目，开展节能宣传周、生态日宣传，支持库车经济技术开发区能耗双控、能源双碳节能诊断平台项目，支持各地开展重点用能企业节能诊断项目。共计23个项目。</w:t>
      </w:r>
    </w:p>
    <w:p w14:paraId="60273666">
      <w:pPr>
        <w:spacing w:line="580" w:lineRule="exact"/>
        <w:ind w:firstLine="567"/>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2.</w:t>
      </w:r>
      <w:r>
        <w:rPr>
          <w:rStyle w:val="18"/>
          <w:rFonts w:hint="default" w:ascii="Times New Roman" w:hAnsi="Times New Roman" w:eastAsia="仿宋_GB2312" w:cs="Times New Roman"/>
          <w:b w:val="0"/>
          <w:spacing w:val="-4"/>
          <w:sz w:val="32"/>
          <w:szCs w:val="32"/>
        </w:rPr>
        <w:t>项目实施情况：自治区党委集中办公区节能改造等6个公共机构节能改造项目正在有序推进；新疆建设职业技术学院建工校区学生宿舍楼节能建筑、G30连霍高速哈密服务区分布式光伏供电改造2个建筑、交通领域节能示范项目正在实施；支持自治区公共机构节能与资产管理一体化平台建设、自治区公共机构节能管理能力提升2个公共机构节能能力建设项目；公开征集并完成节能降碳领域重点问题课题研究，已委托有关咨询机构开展“十五五”碳排放双控制度研究、“十四五”能耗双控评价和“十五五”碳减排工作基础研究；完成生态产品价值实现机制基础研究，按进度开展固定资产投资项目节能审查评审；支持自治区重点耗能企业能碳监测和碳足迹应用研究项目，已完成自治区重点用能单位能源利用状况核查、节能诊断及电力行业建设和运行情况监测项目；支持能源统计能力建设项目，顺利开展2025年度节能宣传周、生态日宣传，支持碳达峰试点园区库车经济技术开发区能耗双控、能源双碳节能诊断平台项目，支持各地开展重点用能企业节能诊断项目。</w:t>
      </w:r>
    </w:p>
    <w:p w14:paraId="1F73A0EA">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3.项目实施主体:本项目实施主体为自治区发展改革委、机关事务管理局、交通运输厅、住房城乡建设厅、市场监管局、统计局等自治区相关领域及行业节能减排管理部门和各地、州、市发展改革委。</w:t>
      </w:r>
    </w:p>
    <w:p w14:paraId="469652EB">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4.资金投入和使用情况:根据《自治区节能减排专项资金暂行管理办法》预算安排资金4500万元，截至目前，自治区全社会节能减排资金计划实际下达4500万元，实际执行4454.9万元，预算执行率99%。</w:t>
      </w:r>
    </w:p>
    <w:p w14:paraId="6C61ACBB">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（二）项目绩效目标</w:t>
      </w:r>
    </w:p>
    <w:p w14:paraId="184AB4D3">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项目绩效总目标:通过实施节能降碳示范、节能能力建设和节能宣传等项目，进一步推进建筑、交通等重点领域节能降碳改造示范，加强节能降碳政策体系研究完善，加快降碳技术推广应用，不断提高能源利用效率，提升节能管理水平，促进绿色低碳高质量发展，助力实现碳达峰、碳中和。</w:t>
      </w:r>
    </w:p>
    <w:p w14:paraId="0D54FBA4">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阶段性目标。前期准备：项目实施前期按照国家和自治区关于年度节能工作及碳达峰碳中和工作部署，根据年度重点工作和自治区节能减排专项资金管理相关要求，研究提出了年度节能减排专项资金申报方向，制定了申报指南，会同自治区财政厅组织相关单位和地州发展改革委开展项目申报工作，经筛选复核并按程序确定了2024年度全社会节能减排专项资金项目计划。组织实施：督促各项目单位严格落实投资计划执行和项目管理的主体责任，严格按投资计划组织实施，及时准确上报进度数据和信息，自觉接受各级监管部门监督检查。在资金管理方面，项目资金到位足额及时支付，资金使用符合国家法规和财务管理制度，不存在截留、挤占、挪用、虚列支出等情况。项目支出手续完备，项目资料齐全并及时归档。同时注重建立长效机制，着眼项目长期效益的发挥。</w:t>
      </w:r>
    </w:p>
    <w:p w14:paraId="18A4EC44">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二、绩效评价工作开展情况</w:t>
      </w:r>
    </w:p>
    <w:p w14:paraId="60344E43">
      <w:pPr>
        <w:spacing w:line="580" w:lineRule="exact"/>
        <w:ind w:firstLine="564" w:firstLineChars="181"/>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（一）绩效评价目的、对象和范围</w:t>
      </w:r>
    </w:p>
    <w:p w14:paraId="3C8D4FB0">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目的。本次绩效评价按照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绩效评价的目的是发现预算资金在制定投资计划、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14:paraId="049F5B14">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2.绩效评价对象。本次绩效评价以2024年全社会节能减排专项资金项目支出对象所对应的预算资金，以项目实施所带来的产出和效果为主要内容，以促进预算单位完成特定工作任务目标所组织开展的绩效评价。</w:t>
      </w:r>
    </w:p>
    <w:p w14:paraId="2874663F">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评价范围。本次评价范围涵盖项目总体绩效目标、各项绩效指标完成情况以及预算执行情况。覆盖项目预算资金支出的所有内容进行评价。包括项目决策、过程、项目实施和项目成果验收流程、项目达到的效益等。</w:t>
      </w:r>
    </w:p>
    <w:p w14:paraId="7B24D27C">
      <w:pPr>
        <w:spacing w:line="580" w:lineRule="exact"/>
        <w:ind w:firstLine="564" w:firstLineChars="181"/>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（二）绩效评价原则、评价指标体系、评价方法、评价标准等</w:t>
      </w:r>
    </w:p>
    <w:p w14:paraId="47CBE6A2">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原则。本次绩效评价遵循的原则包括：（1）科学公正。绩效评价运用科学合理的方法，按照规范的程序，对项目绩效进行客观、公正的反映。（2）统筹兼顾。组织相关单位开展自评，单位自评的基础上开展部门评价。（3）激励约束。将绩效评价结果与预算安排、政策调整、改进管理实质性挂钩，体现奖优罚劣和激励相容导向。</w:t>
      </w:r>
    </w:p>
    <w:p w14:paraId="48C550B6">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2.绩效评价指标体系。绩效评价指标体系根据《预算绩效评价共性指标体系框架》（财预〔2013〕53号）、《自治区党委 自治区人民政府关于全面实施预算绩效管理的实施意见》（新党发〔2018〕30号）、《关于印发&lt;项目支出绩效评价管理办法&gt;的通知》（财预</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2020</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10号）等文件精神，结合专项特点，评价工作组细化项目的绩效评价指标体系：</w:t>
      </w:r>
    </w:p>
    <w:p w14:paraId="6C1CD086">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一级指标为：决策、过程、产出、效益。</w:t>
      </w:r>
    </w:p>
    <w:p w14:paraId="1665E8D3">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二级指标为：项目立项、绩效目标、资金投入、资金管理、组织实施、产出数量、产出质量、产出时效、产出成本、项目效益。</w:t>
      </w:r>
    </w:p>
    <w:p w14:paraId="50CECBE7">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D430F87">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评价方法。本次评价采用定量与定性评价相结合的比较法，通过整理本项目相关资料和数据，评价数量指标的完成情况；通过分析项目的实施情况与绩效目标实现情况，评价项目实施的效果；通过分析项目资金使用情况及产生的效果，评价预算资金分配的合理性。总分由各项指标得分汇总形成。</w:t>
      </w:r>
    </w:p>
    <w:p w14:paraId="4ADDE0B9">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绩效评价标准。本项目评价指标体系的评价标准按照计划标准、行业标准、历史标准等制定。对于定性指标，通过阶段性评价总结，采集相关数据，运用等级描述法，设置分级标准，体现该指标认可程度的差异。对于定量指标，通过公式等方式予以量化，可以准确衡量，并设定目标值的考核指标。绩效评价体系、标准等详见。</w:t>
      </w:r>
    </w:p>
    <w:p w14:paraId="53214C60">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（三）绩效评价工作过程</w:t>
      </w:r>
    </w:p>
    <w:p w14:paraId="6883C7BC">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w:t>
      </w:r>
    </w:p>
    <w:p w14:paraId="58C77A7C">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吴铁城任评价组组长，绩效评价工作职责为负责全盘工作。程鹏隽任评价组副组长，绩效评价工作职责对项目实施情况进行实地调查，指导指标完成情况分析。叶尔生任评价组成员，绩效评价工作职责为负责资料审核、撰写报告等工作。王晓刚任评价组成员，绩效评价工作职责为负责组织各单位自评、归集档案等工作。</w:t>
      </w:r>
    </w:p>
    <w:p w14:paraId="4CED900D">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第二阶段：组织实施。经评价组通过实地调研、查阅资料等方式，采用综合分析法对项目的决策、管理、绩效进行的综合评价分析。</w:t>
      </w:r>
    </w:p>
    <w:p w14:paraId="7C549CA4">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第三阶段：分析评价。首先按照指标体系进行定量、定性分析。其次开展量化打分、综合评价工作，形成初步评价结论。最后归纳整体项目情况与存在问题，撰写部门绩效评价报告。</w:t>
      </w:r>
    </w:p>
    <w:p w14:paraId="7FA3979E">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第四阶段：撰写与提交评价报告。项目撰写绩效评价报告，按照财政部门大平台绩效系统中统一格式和文本框架撰写绩效评价报告。</w:t>
      </w:r>
    </w:p>
    <w:p w14:paraId="789F3951">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第五阶段：归集档案。建立和落实档案管理制度，将项目相关资料存档，包括但不限于：评价项目基本情况和相关文件、评价实施方案、项目支付资料等相关档案。</w:t>
      </w:r>
    </w:p>
    <w:p w14:paraId="57A2F2F0">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三、综合评价情况及评价结论</w:t>
      </w:r>
    </w:p>
    <w:p w14:paraId="102CD070">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2024年全社会节能减排专项资金项目总体组织规范，完成了项目实施的各项工作目标，规范了项目档案资料整理，持续推动我区公共机构节能改造、推进建筑、交通领域低碳项目示范、进一步完善了节能降碳政策体系、推进节能统计能力建设，节能减排工作取得积极进展，不断降低能源资源消耗水平，助力实现我区碳达峰碳中和任务目标。在项目决策方面，通过各有关单位提出项目建设需求，自治区交通、住建、机关事务管理局初审推荐，结合国家和自治区关于年度节能工作及碳达峰碳中和重点工作安排部署，坚持集体决策，经过专题会议研究，项目计划制定依据充分，程序规范；在项目管理方面，2024年本项目预算安排4500万元，实际执行4454.9万元，预算执行率99%。项目资金使用合规，项目财务管理制度健全，财务监控到位，所有资金支付均按照国库集中支付制度严格执行，现有项目管理制度执行情况良好；在项目产出方面，2024年本项目投资计划安排实施23个项目，跨年实施项目正在有序推进，年内实施项目已完工，实际实施项目产出数量和覆盖部门及地州达到预期效果；在项目效益方面，经初步测算，扣除原料用能和可再生能源消费后，我区2024年单位GDP能耗强度降低4.5%，为完成“十四五”国家下达我区能耗强度降低目标任务打下良好基础。项目的实施，为我区能源资源消耗水平持续降低、经济社会可持续发展奠定了有力基础。</w:t>
      </w:r>
    </w:p>
    <w:p w14:paraId="336086C6">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综合评价结论：运用项目组制定评价指标体系及财政部《项目支出绩效评价管理办法》（财预〔2020〕10号）文件评分标准进行评价，该项目最终评分100分，绩效评级为“优”，具体得分情况为：项目决策20分、项目过程20分、项目产出30分、项目效益30分。</w:t>
      </w:r>
    </w:p>
    <w:p w14:paraId="3825E96D">
      <w:pPr>
        <w:spacing w:line="580" w:lineRule="exact"/>
        <w:ind w:firstLine="640"/>
        <w:rPr>
          <w:rStyle w:val="18"/>
          <w:rFonts w:hint="default" w:ascii="Times New Roman" w:hAnsi="Times New Roman" w:eastAsia="黑体" w:cs="Times New Roman"/>
          <w:b w:val="0"/>
        </w:rPr>
      </w:pPr>
      <w:r>
        <w:rPr>
          <w:rStyle w:val="18"/>
          <w:rFonts w:hint="default" w:ascii="Times New Roman" w:hAnsi="Times New Roman" w:eastAsia="黑体" w:cs="Times New Roman"/>
          <w:b w:val="0"/>
          <w:spacing w:val="-4"/>
          <w:sz w:val="32"/>
          <w:szCs w:val="32"/>
        </w:rPr>
        <w:t xml:space="preserve">四、绩效评价指标分析 </w:t>
      </w:r>
    </w:p>
    <w:p w14:paraId="7AC97416">
      <w:pPr>
        <w:spacing w:line="58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（一）项目决策情况</w:t>
      </w:r>
    </w:p>
    <w:p w14:paraId="77502F38">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项目决策类指标包括项目立项、绩效目标和资金投入三方面的内容，由6个三级指标构成，权重分为</w:t>
      </w:r>
      <w:r>
        <w:rPr>
          <w:rStyle w:val="18"/>
          <w:rFonts w:hint="eastAsia" w:eastAsia="仿宋_GB2312" w:cs="Times New Roman"/>
          <w:b w:val="0"/>
          <w:spacing w:val="-4"/>
          <w:sz w:val="32"/>
          <w:szCs w:val="32"/>
          <w:lang w:val="en-US" w:eastAsia="zh-CN"/>
        </w:rPr>
        <w:t>20</w:t>
      </w:r>
      <w:r>
        <w:rPr>
          <w:rStyle w:val="18"/>
          <w:rFonts w:hint="default" w:ascii="Times New Roman" w:hAnsi="Times New Roman" w:eastAsia="仿宋_GB2312" w:cs="Times New Roman"/>
          <w:b w:val="0"/>
          <w:spacing w:val="-4"/>
          <w:sz w:val="32"/>
          <w:szCs w:val="32"/>
        </w:rPr>
        <w:t>分，实际得分20分，得分率为100%。</w:t>
      </w:r>
    </w:p>
    <w:p w14:paraId="03DCE2CA">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立项依据充分性：为深入推进节能减排工作，确保我区节能减排总体目标任务取得积极进展，根据《中华人民共和国节约能源法》、《新疆维吾尔自治区实施〈中华人民共和国节约能源法〉办法》，自治区设立节能减排专项资金，并制定《新疆维吾尔自治区节能减排专项资金管理暂行办法》，项目立项依据充分。根据评分标准，该指标不扣分，得5分。</w:t>
      </w:r>
    </w:p>
    <w:p w14:paraId="532E69D7">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立项程序规范性：按照《新疆维吾尔自治区节能减排专项资金管理暂行办法》，自治区发展改革委统筹安排全社会节能减排资金，通过各有关单位提出项目建设需求、结合国家和自治区关于节能工作和碳达峰碳中和重点工作安排部署，坚持集体决策，经过专题会议研究，项目计划制定程序规范。根据评分标准，该指标不扣分，得3分。</w:t>
      </w:r>
    </w:p>
    <w:p w14:paraId="121DFB74">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3.绩效目标合理性：充分结合计划项目的实施目的，合理确定项目绩效目标。根据评分标准，该指标不扣分，得3分。</w:t>
      </w:r>
    </w:p>
    <w:p w14:paraId="1CFFDAD6">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4.绩效指标明确性：项目计划明确了总体目标，并对任务进行了分解，对目标进行了细化。根据评分标准，该指标不扣分，得2分。</w:t>
      </w:r>
    </w:p>
    <w:p w14:paraId="150BE6AA">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5.预算编制科学性：按照《中华人民共和国节约能源法》《新疆维吾尔自治区实施〈中华人民共和国节约能源法〉办法》关于县级以上人民政府设立节能减排专项资金的要求，根据自治区节能减排成员单位工作任务，设立自治区节能减排专项资金，内容与项目内容匹配，项目投资额与工作任务相匹配，根据评分标准，该指标不扣分，得5分。</w:t>
      </w:r>
    </w:p>
    <w:p w14:paraId="28DB0EC9">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6.资金分配合理性：2024年自治区全社会节能减排专项资金按照突出重点工作，兼顾基础能力支撑；突出重点领域，强化节能示范作用；突出安排标准，确保资金计划科学合理的原则，统筹考虑住建、交通、公共机构等领域年度节能减排工作重点，参照节能减碳中央预算内投资补助标准，制定申报指南，结合各相关部门的项目申报情况，拟定年度专项资金计划方案。资金分配与实际相适应，根据评分标准，该指标不扣分，得2分。</w:t>
      </w:r>
    </w:p>
    <w:p w14:paraId="5D4FC745">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（二）项目过程情况</w:t>
      </w:r>
    </w:p>
    <w:p w14:paraId="3C789451">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项目过程类指标包括资金管理和组织实施两方面的内容，由 5个三级指标构成，权重分为20分，实际得分20分，得分率为100%。</w:t>
      </w:r>
    </w:p>
    <w:p w14:paraId="33A0B495">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1.资金到位率：财政资金足额拨付到位，牵头单位能够及时足额按照合同约定将专项资金拨付给项目单位，根据评分标准，该指标不扣分，得2分。</w:t>
      </w:r>
    </w:p>
    <w:p w14:paraId="58D5ADCA">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2.预算执行率：预算编制详细，项目资金支出能够按照预算执行。项目到位资金4500万元，执行资金4454.9万元，执行率99%。根据评分标准，该指标不扣分，得4.95分。</w:t>
      </w:r>
    </w:p>
    <w:p w14:paraId="4B6413A2">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3.资金使用合规性：制定了相关的制度和管理规定对经费使用进行规范管理，财务制度健全、执行严格，根据评分标准，该指标不扣分，得5分。</w:t>
      </w:r>
    </w:p>
    <w:p w14:paraId="4D4B3665">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4.管理制度健全性：自治区已制定了自治区节能减排资金管理办法，对财政专项资金进行严格管理，做到了专款专用，根据评分标准，该指标不扣分，得4分。</w:t>
      </w:r>
    </w:p>
    <w:p w14:paraId="20D13CD2">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5.制度执行有效性：按照自治区节能减排专项资金暂行管理办法，由机关事务、住建、交通等行业部门和各地发展改革委及相关单位提出资金使用申请，结合国家和自治区关于节能工作和碳达峰碳中和重点工作安排部署，经审核筛选拟定计划方案，并报请委党组审议通过，下达实施。加强对计划项目的监管，按期对资金使用效果进行自评，根据评分标准，该指标不扣分，得4分。</w:t>
      </w:r>
    </w:p>
    <w:p w14:paraId="7AB8FD19">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（三）项目产出情况</w:t>
      </w:r>
    </w:p>
    <w:p w14:paraId="6DE41341">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项目产出类指标包括产出数量、产出质量、产出时效、产出成本四方面的内容，由6个三级指标构成，权重分为30分，实际得分30分，得分率为30%。</w:t>
      </w:r>
    </w:p>
    <w:p w14:paraId="306E2041">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对于“产出数量”。项目预期实施数量目标为不少于15个节能减排项目，实际在资金计划下达中安排23个项目，与预期目标一致，根据评分标准，该指标不扣分，得6分。项目覆盖部门及地州数量为18个，与预期目标一致，根据评分标准，该指标不扣分，得4分。</w:t>
      </w:r>
    </w:p>
    <w:p w14:paraId="4F0B3274">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2.对于“产出质量”。已完工项目验收合格率100%，与预期目标一致，根据评分标准，该指标不扣分，得8分。</w:t>
      </w:r>
    </w:p>
    <w:p w14:paraId="6A1D7945">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3.对于“产出时效”。资金及时到位率为100%，与预期目标指标一致，根据评分标准，该指标不扣分，得3分。项目按计划开工率为100%，预期目标90%，根据评分标准，该指标不扣分，得3分。合计得6分。</w:t>
      </w:r>
    </w:p>
    <w:p w14:paraId="3131B399">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4.对于“产出成本”。本专项资金4500万元，项目经费都能控制专项经费安排资金范围内，根据评分标准，该指标不扣分，得6分。</w:t>
      </w:r>
    </w:p>
    <w:p w14:paraId="7EC36BC3">
      <w:pPr>
        <w:spacing w:line="58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（四）项目效益情况</w:t>
      </w:r>
    </w:p>
    <w:p w14:paraId="3DA6EEDF">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项目实施有效促进全区能源资源消耗水平降低、有效促进我区经济社会可持续发展，服务对象满意度为100%，该指标不扣分，得30分，得分率为100%。</w:t>
      </w:r>
    </w:p>
    <w:p w14:paraId="22F24CDE">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实施效益指标：对于“社会效益指标”：经初步测算，扣除原料用能和可再生能源消费后，我区2024年单位GDP能耗强度降低4.5%，为完成“十四五”国家下达我区能耗强度降低目标任务打下良好基础。项目的实施，为我区能源资源消耗水平持续降低、经济社会可持续发展奠定了有力基础。该指标不扣分，得10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对于“可持续影响指标”：我区较好的完成了2024年能耗强度下降任务，有效促进我区经济社会可持续发展，与预期指标一致，根据评分标准，该指标不扣分，得10分。</w:t>
      </w:r>
    </w:p>
    <w:p w14:paraId="5B46E5E6">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2.满意度指标:对于满意度指标：各受益项目单位满意度100%，与预期目标一致，根据评分标准，该指标不扣分,得10分。</w:t>
      </w:r>
    </w:p>
    <w:p w14:paraId="63B46764">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五、主要经验及做法、存在的问题及原因分析</w:t>
      </w:r>
    </w:p>
    <w:p w14:paraId="5513BA99">
      <w:pPr>
        <w:spacing w:line="580" w:lineRule="exact"/>
        <w:ind w:firstLine="624" w:firstLineChars="200"/>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（一）主要经验及做法</w:t>
      </w:r>
    </w:p>
    <w:p w14:paraId="2CE25C91">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是本项目能够严格按照《自治区节能减排专项资金暂行管理办法》执行，项目执行情况较好。二是加强组织领导，本项目绩效评价工作，由负责处室处长挂帅，分管副处长具体负责，从项目到资金，均能够很好的执行。三是加强沟通协调，我单位加强与各资金使用单位的沟通，及时对接协调推进项目进度，确保项目按期完工。</w:t>
      </w:r>
    </w:p>
    <w:p w14:paraId="5C2EC586">
      <w:pPr>
        <w:spacing w:line="580" w:lineRule="exact"/>
        <w:ind w:firstLine="624" w:firstLineChars="200"/>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（二）存在问题及原因分析</w:t>
      </w:r>
    </w:p>
    <w:p w14:paraId="474F4A3B">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一是缺少带着问题去评价的意识。二是现场评价的工作量少，后续效益评价具体措施和方法较少。</w:t>
      </w:r>
    </w:p>
    <w:p w14:paraId="1A0476F3">
      <w:pPr>
        <w:spacing w:line="580" w:lineRule="exact"/>
        <w:ind w:firstLine="624" w:firstLineChars="20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六、有关建议</w:t>
      </w:r>
    </w:p>
    <w:p w14:paraId="033D25DB">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对于跨年实施项目，建议适当对绩效评价工作开展的时间向后调整。</w:t>
      </w:r>
    </w:p>
    <w:p w14:paraId="72190DFF">
      <w:pPr>
        <w:spacing w:line="580" w:lineRule="exact"/>
        <w:ind w:firstLine="567"/>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七、其他需要说明的问题</w:t>
      </w:r>
    </w:p>
    <w:p w14:paraId="5033F0FB">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我单位对上述项目支出绩效评价报告内反映内容的真实性、完整性负责，接受上级部门及社会公众监督。</w:t>
      </w:r>
    </w:p>
    <w:p w14:paraId="09C61145">
      <w:pPr>
        <w:spacing w:line="580" w:lineRule="exact"/>
        <w:ind w:firstLine="567"/>
        <w:rPr>
          <w:rStyle w:val="18"/>
          <w:rFonts w:hint="default" w:ascii="Times New Roman" w:hAnsi="Times New Roman" w:eastAsia="仿宋_GB2312" w:cs="Times New Roman"/>
          <w:b w:val="0"/>
          <w:spacing w:val="-4"/>
          <w:sz w:val="32"/>
          <w:szCs w:val="32"/>
        </w:rPr>
      </w:pPr>
    </w:p>
    <w:p w14:paraId="62F398A9">
      <w:pPr>
        <w:spacing w:line="580" w:lineRule="exact"/>
        <w:ind w:firstLine="567"/>
        <w:rPr>
          <w:rStyle w:val="18"/>
          <w:rFonts w:hint="default" w:ascii="Times New Roman" w:hAnsi="Times New Roman" w:eastAsia="仿宋_GB2312" w:cs="Times New Roman"/>
          <w:b w:val="0"/>
          <w:spacing w:val="-4"/>
          <w:sz w:val="32"/>
          <w:szCs w:val="32"/>
        </w:rPr>
      </w:pPr>
    </w:p>
    <w:p w14:paraId="5177E332">
      <w:pPr>
        <w:spacing w:line="580" w:lineRule="exact"/>
        <w:ind w:firstLine="567"/>
        <w:rPr>
          <w:rStyle w:val="18"/>
          <w:rFonts w:hint="default" w:ascii="Times New Roman" w:hAnsi="Times New Roman" w:eastAsia="仿宋_GB2312" w:cs="Times New Roman"/>
          <w:b w:val="0"/>
          <w:spacing w:val="-4"/>
          <w:sz w:val="32"/>
          <w:szCs w:val="32"/>
        </w:rPr>
      </w:pPr>
    </w:p>
    <w:p w14:paraId="48B420CA">
      <w:pPr>
        <w:spacing w:line="580" w:lineRule="exact"/>
        <w:ind w:firstLine="567"/>
        <w:rPr>
          <w:rStyle w:val="18"/>
          <w:rFonts w:hint="default" w:ascii="Times New Roman" w:hAnsi="Times New Roman" w:eastAsia="仿宋_GB2312" w:cs="Times New Roman"/>
          <w:b w:val="0"/>
          <w:spacing w:val="-4"/>
          <w:sz w:val="32"/>
          <w:szCs w:val="32"/>
        </w:rPr>
      </w:pPr>
    </w:p>
    <w:p w14:paraId="5C7548DD">
      <w:pPr>
        <w:spacing w:line="580" w:lineRule="exact"/>
        <w:ind w:firstLine="567"/>
        <w:rPr>
          <w:rStyle w:val="18"/>
          <w:rFonts w:hint="default" w:ascii="Times New Roman" w:hAnsi="Times New Roman" w:eastAsia="仿宋_GB2312" w:cs="Times New Roman"/>
          <w:b w:val="0"/>
          <w:spacing w:val="-4"/>
          <w:sz w:val="32"/>
          <w:szCs w:val="32"/>
        </w:rPr>
      </w:pPr>
    </w:p>
    <w:p w14:paraId="6A60C3BD">
      <w:pPr>
        <w:spacing w:line="580" w:lineRule="exact"/>
        <w:ind w:firstLine="567"/>
        <w:rPr>
          <w:rStyle w:val="18"/>
          <w:rFonts w:hint="default" w:ascii="Times New Roman" w:hAnsi="Times New Roman" w:eastAsia="仿宋_GB2312" w:cs="Times New Roman"/>
          <w:b w:val="0"/>
          <w:spacing w:val="-4"/>
          <w:sz w:val="32"/>
          <w:szCs w:val="32"/>
        </w:rPr>
      </w:pPr>
    </w:p>
    <w:p w14:paraId="36E7839D">
      <w:pPr>
        <w:spacing w:line="580" w:lineRule="exact"/>
        <w:ind w:firstLine="567"/>
        <w:rPr>
          <w:rStyle w:val="18"/>
          <w:rFonts w:hint="default" w:ascii="Times New Roman" w:hAnsi="Times New Roman" w:eastAsia="仿宋_GB2312" w:cs="Times New Roman"/>
          <w:b w:val="0"/>
          <w:spacing w:val="-4"/>
          <w:sz w:val="32"/>
          <w:szCs w:val="32"/>
        </w:rPr>
      </w:pPr>
    </w:p>
    <w:p w14:paraId="59BE3C5A">
      <w:pPr>
        <w:spacing w:line="580" w:lineRule="exact"/>
        <w:ind w:firstLine="567"/>
        <w:rPr>
          <w:rStyle w:val="18"/>
          <w:rFonts w:hint="default" w:ascii="Times New Roman" w:hAnsi="Times New Roman" w:eastAsia="仿宋_GB2312" w:cs="Times New Roman"/>
          <w:b w:val="0"/>
          <w:spacing w:val="-4"/>
          <w:sz w:val="32"/>
          <w:szCs w:val="32"/>
        </w:rPr>
      </w:pPr>
    </w:p>
    <w:p w14:paraId="0A1272DA">
      <w:pPr>
        <w:spacing w:line="580" w:lineRule="exact"/>
        <w:ind w:firstLine="567"/>
        <w:rPr>
          <w:rStyle w:val="18"/>
          <w:rFonts w:hint="default" w:ascii="Times New Roman" w:hAnsi="Times New Roman" w:eastAsia="仿宋_GB2312" w:cs="Times New Roman"/>
          <w:b w:val="0"/>
          <w:spacing w:val="-4"/>
          <w:sz w:val="32"/>
          <w:szCs w:val="32"/>
        </w:rPr>
      </w:pPr>
    </w:p>
    <w:p w14:paraId="6FD1D75F">
      <w:pPr>
        <w:spacing w:line="580" w:lineRule="exact"/>
        <w:ind w:firstLine="567"/>
        <w:rPr>
          <w:rStyle w:val="18"/>
          <w:rFonts w:hint="default" w:ascii="Times New Roman" w:hAnsi="Times New Roman" w:eastAsia="仿宋_GB2312" w:cs="Times New Roman"/>
          <w:b w:val="0"/>
          <w:spacing w:val="-4"/>
          <w:sz w:val="32"/>
          <w:szCs w:val="32"/>
        </w:rPr>
      </w:pPr>
    </w:p>
    <w:p w14:paraId="152EBBE3">
      <w:pPr>
        <w:spacing w:line="580" w:lineRule="exact"/>
        <w:ind w:firstLine="567"/>
        <w:rPr>
          <w:rStyle w:val="18"/>
          <w:rFonts w:hint="default" w:ascii="Times New Roman" w:hAnsi="Times New Roman" w:eastAsia="仿宋_GB2312" w:cs="Times New Roman"/>
          <w:b w:val="0"/>
          <w:spacing w:val="-4"/>
          <w:sz w:val="32"/>
          <w:szCs w:val="32"/>
        </w:rPr>
      </w:pPr>
    </w:p>
    <w:p w14:paraId="53B2F481">
      <w:pPr>
        <w:spacing w:line="580" w:lineRule="exact"/>
        <w:ind w:firstLine="567"/>
        <w:rPr>
          <w:rStyle w:val="18"/>
          <w:rFonts w:hint="default" w:ascii="Times New Roman" w:hAnsi="Times New Roman" w:eastAsia="仿宋_GB2312" w:cs="Times New Roman"/>
          <w:b w:val="0"/>
          <w:spacing w:val="-4"/>
          <w:sz w:val="32"/>
          <w:szCs w:val="32"/>
        </w:rPr>
      </w:pPr>
    </w:p>
    <w:sectPr>
      <w:footerReference r:id="rId4"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95C3D">
    <w:pPr>
      <w:pStyle w:val="12"/>
      <w:jc w:val="center"/>
    </w:pPr>
  </w:p>
  <w:p w14:paraId="74A7D81D">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DD5DE">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14:paraId="47504778">
                              <w:pPr>
                                <w:pStyle w:val="12"/>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14</w:t>
                              </w:r>
                              <w:r>
                                <w:rPr>
                                  <w:rFonts w:hint="eastAsia" w:asciiTheme="minorEastAsia" w:hAnsiTheme="minorEastAsia" w:eastAsiaTheme="minorEastAsia" w:cstheme="minorEastAsia"/>
                                  <w:sz w:val="28"/>
                                  <w:szCs w:val="28"/>
                                </w:rPr>
                                <w:fldChar w:fldCharType="end"/>
                              </w:r>
                            </w:p>
                          </w:sdtContent>
                        </w:sdt>
                        <w:p w14:paraId="08CA8786"/>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422003363"/>
                    </w:sdtPr>
                    <w:sdtContent>
                      <w:p w14:paraId="47504778">
                        <w:pPr>
                          <w:pStyle w:val="12"/>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14</w:t>
                        </w:r>
                        <w:r>
                          <w:rPr>
                            <w:rFonts w:hint="eastAsia" w:asciiTheme="minorEastAsia" w:hAnsiTheme="minorEastAsia" w:eastAsiaTheme="minorEastAsia" w:cstheme="minorEastAsia"/>
                            <w:sz w:val="28"/>
                            <w:szCs w:val="28"/>
                          </w:rPr>
                          <w:fldChar w:fldCharType="end"/>
                        </w:r>
                      </w:p>
                    </w:sdtContent>
                  </w:sdt>
                  <w:p w14:paraId="08CA8786"/>
                </w:txbxContent>
              </v:textbox>
            </v:shape>
          </w:pict>
        </mc:Fallback>
      </mc:AlternateContent>
    </w:r>
  </w:p>
  <w:p w14:paraId="5CE1783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34F"/>
    <w:rsid w:val="0075584F"/>
    <w:rsid w:val="00797571"/>
    <w:rsid w:val="00855E3A"/>
    <w:rsid w:val="008F69C9"/>
    <w:rsid w:val="0091457F"/>
    <w:rsid w:val="00915894"/>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228F"/>
    <w:rsid w:val="00AD5E52"/>
    <w:rsid w:val="00AF683C"/>
    <w:rsid w:val="00B2343E"/>
    <w:rsid w:val="00B40063"/>
    <w:rsid w:val="00B41F61"/>
    <w:rsid w:val="00B74D04"/>
    <w:rsid w:val="00BA46E6"/>
    <w:rsid w:val="00BB5015"/>
    <w:rsid w:val="00BC2698"/>
    <w:rsid w:val="00C04B6D"/>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FBDA139"/>
    <w:rsid w:val="498A08A1"/>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6548</Words>
  <Characters>6750</Characters>
  <Lines>48</Lines>
  <Paragraphs>13</Paragraphs>
  <TotalTime>7</TotalTime>
  <ScaleCrop>false</ScaleCrop>
  <LinksUpToDate>false</LinksUpToDate>
  <CharactersWithSpaces>6758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夏至未至</cp:lastModifiedBy>
  <cp:lastPrinted>2018-12-31T18:56:00Z</cp:lastPrinted>
  <dcterms:modified xsi:type="dcterms:W3CDTF">2025-09-01T10:42:23Z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160D1BA1944349B08C48068401F6E698</vt:lpwstr>
  </property>
  <property fmtid="{D5CDD505-2E9C-101B-9397-08002B2CF9AE}" pid="4" name="KSOTemplateDocerSaveRecord">
    <vt:lpwstr>eyJoZGlkIjoiMGJlZDNhZGQyNzVlYTgyMjI3NWMyYTU4NTY5MTM1YWYiLCJ1c2VySWQiOiI0NjAxNDgzOTUifQ==</vt:lpwstr>
  </property>
</Properties>
</file>