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方正小标宋_GBK" w:cs="Times New Roman"/>
          <w:b w:val="0"/>
          <w:bCs/>
          <w:kern w:val="0"/>
          <w:sz w:val="44"/>
          <w:szCs w:val="44"/>
        </w:rPr>
      </w:pPr>
      <w:r>
        <w:rPr>
          <w:rFonts w:hint="default" w:ascii="Times New Roman" w:hAnsi="Times New Roman" w:eastAsia="方正小标宋_GBK" w:cs="Times New Roman"/>
          <w:b w:val="0"/>
          <w:bCs/>
          <w:kern w:val="0"/>
          <w:sz w:val="44"/>
          <w:szCs w:val="44"/>
        </w:rPr>
        <w:t>自治区财政项目支出绩效自评报告</w:t>
      </w: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2024</w:t>
      </w:r>
      <w:r>
        <w:rPr>
          <w:rFonts w:hint="default" w:ascii="Times New Roman" w:hAnsi="Times New Roman" w:eastAsia="仿宋_GB2312" w:cs="Times New Roman"/>
          <w:kern w:val="0"/>
          <w:sz w:val="36"/>
          <w:szCs w:val="36"/>
        </w:rPr>
        <w:t>年度）</w:t>
      </w: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rPr>
          <w:rFonts w:hint="default" w:ascii="Times New Roman" w:hAnsi="Times New Roman" w:eastAsia="仿宋_GB2312" w:cs="Times New Roman"/>
          <w:kern w:val="0"/>
          <w:sz w:val="30"/>
          <w:szCs w:val="30"/>
        </w:rPr>
      </w:pPr>
    </w:p>
    <w:p>
      <w:pPr>
        <w:spacing w:line="580" w:lineRule="exact"/>
        <w:ind w:firstLine="640"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项目名称：</w:t>
      </w:r>
      <w:r>
        <w:rPr>
          <w:rStyle w:val="18"/>
          <w:rFonts w:hint="default" w:ascii="Times New Roman" w:hAnsi="Times New Roman" w:eastAsia="仿宋_GB2312" w:cs="Times New Roman"/>
          <w:b w:val="0"/>
          <w:spacing w:val="-4"/>
          <w:sz w:val="32"/>
          <w:szCs w:val="32"/>
        </w:rPr>
        <w:t>2024年自治区预算内投资</w:t>
      </w:r>
    </w:p>
    <w:p>
      <w:pPr>
        <w:spacing w:line="58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实施单位：</w:t>
      </w:r>
      <w:r>
        <w:rPr>
          <w:rStyle w:val="18"/>
          <w:rFonts w:hint="default" w:ascii="Times New Roman" w:hAnsi="Times New Roman" w:eastAsia="仿宋_GB2312" w:cs="Times New Roman"/>
          <w:b w:val="0"/>
          <w:spacing w:val="-4"/>
          <w:sz w:val="32"/>
          <w:szCs w:val="32"/>
        </w:rPr>
        <w:t>新疆维吾尔自治区发展和改革委员会</w:t>
      </w:r>
    </w:p>
    <w:p>
      <w:pPr>
        <w:spacing w:line="58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主管部门：</w:t>
      </w:r>
      <w:r>
        <w:rPr>
          <w:rStyle w:val="18"/>
          <w:rFonts w:hint="default" w:ascii="Times New Roman" w:hAnsi="Times New Roman" w:eastAsia="仿宋_GB2312" w:cs="Times New Roman"/>
          <w:b w:val="0"/>
          <w:spacing w:val="-4"/>
          <w:sz w:val="32"/>
          <w:szCs w:val="32"/>
        </w:rPr>
        <w:t>新疆维吾尔自治区发展和改革委员会</w:t>
      </w:r>
    </w:p>
    <w:p>
      <w:pPr>
        <w:spacing w:line="58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项目负责人：</w:t>
      </w:r>
      <w:r>
        <w:rPr>
          <w:rStyle w:val="18"/>
          <w:rFonts w:hint="default" w:ascii="Times New Roman" w:hAnsi="Times New Roman" w:eastAsia="仿宋_GB2312" w:cs="Times New Roman"/>
          <w:b w:val="0"/>
          <w:spacing w:val="-4"/>
          <w:sz w:val="32"/>
          <w:szCs w:val="32"/>
        </w:rPr>
        <w:t>张永亮</w:t>
      </w:r>
    </w:p>
    <w:p>
      <w:pPr>
        <w:spacing w:line="580" w:lineRule="exact"/>
        <w:ind w:firstLine="640" w:firstLineChars="200"/>
        <w:rPr>
          <w:rStyle w:val="18"/>
          <w:rFonts w:hint="default" w:ascii="Times New Roman" w:hAnsi="Times New Roman" w:eastAsia="仿宋_GB2312" w:cs="Times New Roman"/>
          <w:b w:val="0"/>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填报时间：</w:t>
      </w:r>
      <w:r>
        <w:rPr>
          <w:rStyle w:val="18"/>
          <w:rFonts w:hint="default" w:ascii="Times New Roman" w:hAnsi="Times New Roman" w:eastAsia="仿宋_GB2312" w:cs="Times New Roman"/>
          <w:b w:val="0"/>
          <w:spacing w:val="-4"/>
          <w:sz w:val="32"/>
          <w:szCs w:val="32"/>
        </w:rPr>
        <w:t>2025年03月10日</w:t>
      </w:r>
    </w:p>
    <w:p>
      <w:pPr>
        <w:spacing w:line="580" w:lineRule="exact"/>
        <w:ind w:firstLine="640"/>
        <w:rPr>
          <w:rStyle w:val="18"/>
          <w:rFonts w:hint="default" w:ascii="Times New Roman" w:hAnsi="Times New Roman" w:eastAsia="黑体" w:cs="Times New Roman"/>
          <w:b w:val="0"/>
          <w:spacing w:val="-4"/>
          <w:sz w:val="32"/>
          <w:szCs w:val="32"/>
        </w:rPr>
      </w:pPr>
    </w:p>
    <w:p>
      <w:pPr>
        <w:spacing w:line="580" w:lineRule="exact"/>
        <w:ind w:firstLine="640"/>
        <w:rPr>
          <w:rStyle w:val="18"/>
          <w:rFonts w:hint="default" w:ascii="Times New Roman" w:hAnsi="Times New Roman" w:eastAsia="黑体" w:cs="Times New Roman"/>
          <w:b w:val="0"/>
          <w:spacing w:val="-4"/>
          <w:sz w:val="32"/>
          <w:szCs w:val="32"/>
        </w:rPr>
        <w:sectPr>
          <w:footerReference r:id="rId3" w:type="default"/>
          <w:pgSz w:w="11906" w:h="16838"/>
          <w:pgMar w:top="2098" w:right="1531" w:bottom="1928" w:left="1531" w:header="851" w:footer="992" w:gutter="0"/>
          <w:pgNumType w:fmt="numberInDash"/>
          <w:cols w:space="425" w:num="1"/>
          <w:docGrid w:type="lines" w:linePitch="312" w:charSpace="0"/>
        </w:sectPr>
      </w:pP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（一）项目概况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1.项目背景</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项目遵循财政部《项目支出绩效评价管理办法》（财预〔2020〕10号）、自治区财政厅《自治区财政支出绩效评价管理暂行办法》（新财预〔2018〕189号）等相关政策文件与规定，按照自治区党委经济工作会议精神和政府工作报告要求，重点聚焦事关全区经济社会发展的重大项目前期、重点规划编制和重大工程建设，加大关键领域和薄弱环节有效投资，安排自治区预算内基本建设投资，支持重大基础设施开展前期工作，安排重大项目前期费、自治区规划编制及相关课题研究费。保持基础设施领域补短板力度，进一步完善基础设施和公共服务，更好发挥有效投资对优化供给结构的关键性作用，保持经济平稳健康发展。</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2.主要内容及实施情况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主要内容：围绕国家“十四五”支持新疆经济社会发展重大项目实施方案、自治区国民经济和社会发展第十四个五年规划和2035年远景目标纲要确定的重点领域、重点任务，按照前期费大于等于30%、投资项目小于等于70%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补齐我区经济社会发展短板和弱项，积极推进我区实现社会稳定和长治久安总目标。</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实施情况：2024年经我委分解下达自治区预算内投资（前期费）15亿元，共支持水利、交通等重大基础设施建设、改善民生等项目，以及重点项目前期工作、重要规划编制和课题研究共243个，特别是遴选支持了一批撬动社会投资能力较强的项目，充分发挥政府投资的引导带动作用，促进了基层民生改善，加强基础和薄弱环节建设，加快重点领域和重大项目建设，推动了我区经济健康发展。</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3.项目实施主体</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由自治区发展改革委负责分解下达投资计划，有关地（州、市）、部门组织实施。</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自治区发展改革委主要职能：（一）提出自治区国民经济和社会发展战略、中长期规划和年度发展计划，贯彻执行国家的国民经济和社会发展方针、政策；统筹协调自治区经济社会发展，研究分析国内外、区内外经济形势，提出国民经济发展、价格总水平调控和优化重大经济结构的目标、政策及调控建议。牵头组织统一规划体系建设。负责自治区级发展规划、区域规划、空间规划与自治区发展规划的统筹衔接；起草国民经济和社会发展、经济体制改革和对外开放的有关法律法规草案，制定部门规章。（二）提出加快建设现代化经济体系、推动高质量发展的总体目标、重大任务以及相关政策。组织开展重大战略规划、重大政策、重大工程等评估督导，提出相关调整建议。（三）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参与拟订财政政策、金融政策和土地政策。（四）指导推进和综合协调经济体制改革有关工作，提出相关改革建议。牵头推进供给侧结构性改革。协调推进产权制度和要素市场化配置改革。落实市场准入负面清单制度。牵头推进优化营商环境工作。（五）提出利用外资和境外投资的战略、规划、总量平衡和结构优化政策。牵头推进实施“一带一路”建设。承担统筹协调走出去有关工作。会同有关部门贯彻落实外商投资准入负面清单。（六）负责投资综合管理，拟订全社会固定资产投资总规模、结构调控目标和政策，会同相关部门拟订政府投资项目审批权限和政府核准的固定资产投资项目目录。申报和下达中央预算内投资计划；安排自治区财政预算内固定资产投资计划，按规定权限审批、核准、备案、审核重大项目。规划重大建设项目和生产力布局。拟订并推动落实鼓励民间投资政策措施。（七）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九）推动实施创新驱动发展战略。会同相关部门拟订推进自治区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十一）负责自治区社会发展与国民经济发展的政策衔接，协调有关重大问题。组织拟订自治区社会发展战略、总体规划，统筹推进基本公共服务体系建设。提出促进就业、完善社会保障与经济协调发展的政策建议。牵头开展社会信用体系建设。（十二）推进实施可持续发展战略，推动自治区生态文明建设和改革，协调生态环境保护与修复、能源资源节约和综合利用等工作。提出健全自治区生态保护补偿机制的政策措施，综合协调环保产业和清洁生产促进有关工作。提出自治区能源消费控制目标、任务并组织实施。（十三）研究制定自治区能源发展重大战略和政策建议；组织起草自治区能源管理的地方性法规和规章草案；拟订实施自治区能源发展总体规划、专项规划和年度计划；组织实施能源体制改革；按权限审核自治区能源行业固定资产投资项目；负责自治区重大能源项目的管理和组织协调；指导电力计划调度和市场交易；开展自治区能源国际国内合作；承担自治区石油、天然气管道保护；统筹做好煤矿、电力安全监督管理。（十四）贯彻落实对口支援新疆工作部际联席会议办公室各项政策措施，做好对口援疆工作综合协调、服务保障，组织开展对口援疆规划衔接平衡。（十五）承担自治区对口援疆协调领导小组办公室、自治区社会信用体系建设联席会议办公室、自治区西部开发领导小组办公室、自治区应对气候变化及节能减排工作领导小组等相关具体工作。（十六）管理自治区粮食和物资储备局。（十七）完成自治区党委、人民政府交办的其他任务。</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4.资金投入和使用情况</w:t>
      </w:r>
      <w:r>
        <w:rPr>
          <w:rStyle w:val="18"/>
          <w:rFonts w:hint="default" w:ascii="Times New Roman" w:hAnsi="Times New Roman" w:eastAsia="仿宋_GB2312" w:cs="Times New Roman"/>
          <w:b w:val="0"/>
          <w:spacing w:val="-4"/>
          <w:sz w:val="32"/>
          <w:szCs w:val="32"/>
        </w:rPr>
        <w:br w:type="textWrapping"/>
      </w:r>
      <w:r>
        <w:rPr>
          <w:rStyle w:val="18"/>
          <w:rFonts w:hint="eastAsia" w:eastAsia="仿宋_GB2312" w:cs="Times New Roman"/>
          <w:b w:val="0"/>
          <w:spacing w:val="-4"/>
          <w:sz w:val="32"/>
          <w:szCs w:val="32"/>
          <w:lang w:val="en-US" w:eastAsia="zh-CN"/>
        </w:rPr>
        <w:t xml:space="preserve">    </w:t>
      </w:r>
      <w:r>
        <w:rPr>
          <w:rStyle w:val="18"/>
          <w:rFonts w:hint="default" w:ascii="Times New Roman" w:hAnsi="Times New Roman" w:eastAsia="仿宋_GB2312" w:cs="Times New Roman"/>
          <w:b w:val="0"/>
          <w:spacing w:val="-4"/>
          <w:sz w:val="32"/>
          <w:szCs w:val="32"/>
        </w:rPr>
        <w:t>2024年自治区预算内投资（含前期费）资金150000万元。其中：自治区预算内基本建设投资共安排85634万元；自治区预算内前期费共安排64366万元。截至2024年12月31日，实际执行150000万元，预算执行率100%。</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（二）项目绩效目标</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项目绩效目标包括项目绩效总目标和阶段性目标。</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1.项目绩效总目标</w:t>
      </w:r>
      <w:r>
        <w:rPr>
          <w:rStyle w:val="18"/>
          <w:rFonts w:hint="eastAsia" w:eastAsia="仿宋_GB2312" w:cs="Times New Roman"/>
          <w:b w:val="0"/>
          <w:spacing w:val="-4"/>
          <w:sz w:val="32"/>
          <w:szCs w:val="32"/>
          <w:lang w:eastAsia="zh-CN"/>
        </w:rPr>
        <w:t>。</w:t>
      </w:r>
      <w:r>
        <w:rPr>
          <w:rStyle w:val="18"/>
          <w:rFonts w:hint="default" w:ascii="Times New Roman" w:hAnsi="Times New Roman" w:eastAsia="仿宋_GB2312" w:cs="Times New Roman"/>
          <w:b w:val="0"/>
          <w:spacing w:val="-4"/>
          <w:sz w:val="32"/>
          <w:szCs w:val="32"/>
        </w:rPr>
        <w:t>围绕国家“十四五”支持新疆经济社会发展重大项目实施方案、自治区国民经济和社会发展第十四个五年规划和2035年远景目标纲要确定的重点领域、重点任务，按照前期费大于等于30%、投资项目小于等于70%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补齐我区经济社会发展短板和弱项，积极推进我区实现社会稳定和长治久安总目标。</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2.阶段性目标</w:t>
      </w:r>
      <w:r>
        <w:rPr>
          <w:rStyle w:val="18"/>
          <w:rFonts w:hint="eastAsia" w:eastAsia="仿宋_GB2312" w:cs="Times New Roman"/>
          <w:b w:val="0"/>
          <w:spacing w:val="-4"/>
          <w:sz w:val="32"/>
          <w:szCs w:val="32"/>
          <w:lang w:eastAsia="zh-CN"/>
        </w:rPr>
        <w:t>。</w:t>
      </w:r>
      <w:r>
        <w:rPr>
          <w:rStyle w:val="18"/>
          <w:rFonts w:hint="default" w:ascii="Times New Roman" w:hAnsi="Times New Roman" w:eastAsia="仿宋_GB2312" w:cs="Times New Roman"/>
          <w:b w:val="0"/>
          <w:spacing w:val="-4"/>
          <w:sz w:val="32"/>
          <w:szCs w:val="32"/>
        </w:rPr>
        <w:t>项目前期准备阶段：2024年1月1日至31日，明确自治区预算内投资规模、支持范围，做好项目储备。项目实施阶段：2月1日至3月31日，下达第一批自治区预算内投资；4月1日至6月30日，下达第二批自治区预算内投资，累计下达投资超50000万元；10月30日前，累计下达投资超90000万元；11月30日前，预算内执行率达到100%。项目验收阶段：12月1日至31日，收集预算内执行情况材料。</w:t>
      </w: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二、绩效评价工作开展情况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（一）绩效评价目的、对象和范围</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1.绩效评价目的</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财政部《项目支出绩效评价管理办法》（财预〔2020〕10号）和自治区财政厅《自治区财政支出绩效评价管理暂行办法》（新财预〔2018〕189号）等相关政策文件与规定，旨在评价2024年自治区预算内投资和前期费项目实施前期、过程及效果，评价财政预算资金使用的效率及效益，进一步优化自治区预算内投资安排管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2.绩效评价对象</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本次绩效评价以2024年自治区预算内投资（含前期费）项目所对应的预算资金支出为对象，以项目实施所带来的产出和效果为主要内容，以促进预算单位完成特定工作任务目标所组织开展的绩效评价。</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3.绩效评价范围</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（二）绩效评价原则、评价指标体系、评价方法评价标准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1.绩效评价原则</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本次绩效评价遵循的原则包括：</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（1）科学公正。绩效评价应当运用科学合理的方法，按照规范的程序，对项目绩效进行客观、公正的反映。</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（3）激励约束。绩效评价结果应与预算安排、政策调整、改进管理实质性挂钩，体现奖优罚劣和激励相容导向，有效要安排、低效要压减、无效要问责。</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（4）公开透明。绩效评价结果应依法依规公开，并自觉接受社会监督。</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2.绩效评价指标体系</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2020</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10号）等文件精神，结合专项特点，在与专家组、项目充分协商的基础上，评价工作组细化了该项目的绩效评价指标体系：</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一级指标为：决策、过程、产出、效益。</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3.绩效评价方法</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本次评价采用比较法和综合分析法，总分由各项指标得分汇总形成。</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比较法：通过分析项目的实施情况与绩效目标实现情况，评价项目实施的效果；通过分析项目资金使用情况及产生的效果，评价预算资金分配的合理性。</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综合分析法：通过整理本项目相关资料和数据，对项目的决策、管理、绩效进行的综合评价分析。</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4.绩效评价标准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绩效评价体系、标准等详见（附件1）。</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（三）绩效评价工作过程</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张永亮任评价组组长，绩效评价工作职责为负责全盘工作。李永文任评价组副组长，绩效评价工作职责为对项目实施情况进行数据调度。张萍萍任评价组成员，绩效评价工作职责为对项目数据进行处理、分析。谭怡然任评价组成员，绩效评价工作职责为负责资料审核等工作。</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第二阶段：组织实施。经评价组通过实地调研、查阅资料等方式，采用综合分析法对项目的决策、管理、绩效进行的综合评价分析。</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第四阶段：撰写与提交评价报告.项目撰写绩效评价报告，按照财政局大平台绩效系统中统一格式和文本框架撰写绩效评价报告。</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第五阶段：归集档案。建立和落实档案管理制度，将项目相关资料存档，包括但不限于：评价项目基本情况和相关文件、评价实施方案、项目支付资料等相关档案。</w:t>
      </w: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三、综合评价情况及评价结论</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（一）综合评价情况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2024年自治区预算内投资项目总体组织规范，完成了2024年自治区预算内投资项目的工作目标，通过相关项目建成和投入使用，促进了基层民生改善，加强了基础和薄弱环节建设，加快了重点领域和重大项目建设，补齐我区经济社会发展短板和弱项，推动了我区经济健康发展。</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在项目决策方面，根据自治区安排部署及自治区“十四五”规划纲要等内容，安排自治区预算内投资（含前期费）项目，项目立项依据充分，立项程序规范；在项目管理方面，2024年本项目预算安排150000万元，实际支出150000万元，预算执行率100%。项目资金使用合规，项目财务管理制度健全，财务监控到位，所有资金支付均按照国库集中支付制度严格执行，现有项目管理制度执行情况良好；在项目产出方面：共支持243个项目；在项目效益方面：充分发挥了政府投资的引导带动作用，促进了基层民生改善，加强了基础和薄弱环节建设，加快了重点领域和重大项目建设，推动了我区经济健康发展，推进实现总目标。</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（二）综合评价结论</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运用项目组制定评价指标体系及财政部《项目支出绩效评价管理办法》（财预〔2020〕10号）文件评分标准进行评价，该项目最终评分95分，绩效评级为“优”，具体得分情况为：项目决策20分、项目过程20分、项目产出35分、项目效益20分。</w:t>
      </w:r>
    </w:p>
    <w:p>
      <w:pPr>
        <w:spacing w:line="580" w:lineRule="exact"/>
        <w:ind w:firstLine="640"/>
        <w:rPr>
          <w:rStyle w:val="18"/>
          <w:rFonts w:hint="default" w:ascii="Times New Roman" w:hAnsi="Times New Roman" w:eastAsia="黑体" w:cs="Times New Roman"/>
          <w:b w:val="0"/>
        </w:rPr>
      </w:pPr>
      <w:r>
        <w:rPr>
          <w:rStyle w:val="18"/>
          <w:rFonts w:hint="default" w:ascii="Times New Roman" w:hAnsi="Times New Roman" w:eastAsia="黑体" w:cs="Times New Roman"/>
          <w:b w:val="0"/>
          <w:spacing w:val="-4"/>
          <w:sz w:val="32"/>
          <w:szCs w:val="32"/>
        </w:rPr>
        <w:t>四、绩效评价指标分析</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（一）项目决策情况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项目决策类指标包括项目立项、绩效目标和资金投入三方面的内容，由6个三级指标构成，权重分为20分，实际得分20分，得分率为100%。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立项依据充分性：本项目立项符合国家法律法规，符合自治区党委、人民政府安排部署及自治区“十四五”相关规划，符合自治区发展改革委职责范围，符合《新疆维吾尔自治区预算内投资项目管理办法》《自治区预算内前期费管理办法》，旨在支持市场不能有效配置资源、需要政府支持的经济和社会领域，立项依据充分，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立项程序规范性：项目按照规定的程序申请设立，审批文件、材料符合相关要求，根据决策依据编制工作计划和经费预算，经集体决策、提交主任办公会研究确定最终投资下达方案，根据评分标准，该指标不扣分，得3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3.</w:t>
      </w:r>
      <w:r>
        <w:rPr>
          <w:rStyle w:val="18"/>
          <w:rFonts w:hint="default" w:ascii="Times New Roman" w:hAnsi="Times New Roman" w:eastAsia="仿宋_GB2312" w:cs="Times New Roman"/>
          <w:b w:val="0"/>
          <w:spacing w:val="-4"/>
          <w:sz w:val="32"/>
          <w:szCs w:val="32"/>
        </w:rPr>
        <w:t>绩效目标合理性：绩效目标与实际工作内容具有相关性，预期产出效益和效果符合正常的业绩水平，且与预算确定的项目投资额或资金量相匹配，根据评分标准，该指标不扣分，得3分。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4.</w:t>
      </w:r>
      <w:r>
        <w:rPr>
          <w:rStyle w:val="18"/>
          <w:rFonts w:hint="default" w:ascii="Times New Roman" w:hAnsi="Times New Roman" w:eastAsia="仿宋_GB2312" w:cs="Times New Roman"/>
          <w:b w:val="0"/>
          <w:spacing w:val="-4"/>
          <w:sz w:val="32"/>
          <w:szCs w:val="32"/>
        </w:rPr>
        <w:t>绩效指标明确性：将项目绩效目标细化分解为具体的绩效指标，10个三级指标，8个定量指标，量化率80%，通过清晰、可衡量的指标值予以体现，与项目目标任务数或计划数相对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5.</w:t>
      </w:r>
      <w:r>
        <w:rPr>
          <w:rStyle w:val="18"/>
          <w:rFonts w:hint="default" w:ascii="Times New Roman" w:hAnsi="Times New Roman" w:eastAsia="仿宋_GB2312" w:cs="Times New Roman"/>
          <w:b w:val="0"/>
          <w:spacing w:val="-4"/>
          <w:sz w:val="32"/>
          <w:szCs w:val="32"/>
        </w:rPr>
        <w:t>预算编制科学性：预算编制经过科学论证，内容与项目内容匹配，项目投资额与工作任务相匹配，根据评分标准，该指标不扣分，得5分。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6.</w:t>
      </w:r>
      <w:r>
        <w:rPr>
          <w:rStyle w:val="18"/>
          <w:rFonts w:hint="default" w:ascii="Times New Roman" w:hAnsi="Times New Roman" w:eastAsia="仿宋_GB2312" w:cs="Times New Roman"/>
          <w:b w:val="0"/>
          <w:spacing w:val="-4"/>
          <w:sz w:val="32"/>
          <w:szCs w:val="32"/>
        </w:rPr>
        <w:t>资金分配合理性：资金分配额度合理，与项目单位和地方实际相适应，根据评分标准，该指标不扣分，得2分。</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（二）项目过程情况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项目过程类指标包括资金管理和组织实施两方面的内容，由5个三级指标构成，权重分为20分，实际得分20分，得分率为100%。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资金到位率：财政资金足额拨付到位，资金到位率100%，根据评分标准，该指标不扣分，得2分。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预算执行率：预算编制较为详细，项目资金支出总体能够按照预算执行，预算执行率100%，根据评分标准，该指标不扣分，得5分。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3.</w:t>
      </w:r>
      <w:r>
        <w:rPr>
          <w:rStyle w:val="18"/>
          <w:rFonts w:hint="default" w:ascii="Times New Roman" w:hAnsi="Times New Roman" w:eastAsia="仿宋_GB2312" w:cs="Times New Roman"/>
          <w:b w:val="0"/>
          <w:spacing w:val="-4"/>
          <w:sz w:val="32"/>
          <w:szCs w:val="32"/>
        </w:rPr>
        <w:t>资金使用合规性：经费使用符合《基本建设财务管理规定》，资金的拨付有完整的审批程序和手续，财务制度健全、执行严格，根据评分标准，该指标不扣分，得5分。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4.</w:t>
      </w:r>
      <w:r>
        <w:rPr>
          <w:rStyle w:val="18"/>
          <w:rFonts w:hint="default" w:ascii="Times New Roman" w:hAnsi="Times New Roman" w:eastAsia="仿宋_GB2312" w:cs="Times New Roman"/>
          <w:b w:val="0"/>
          <w:spacing w:val="-4"/>
          <w:sz w:val="32"/>
          <w:szCs w:val="32"/>
        </w:rPr>
        <w:t>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5.</w:t>
      </w:r>
      <w:r>
        <w:rPr>
          <w:rStyle w:val="18"/>
          <w:rFonts w:hint="default" w:ascii="Times New Roman" w:hAnsi="Times New Roman" w:eastAsia="仿宋_GB2312" w:cs="Times New Roman"/>
          <w:b w:val="0"/>
          <w:spacing w:val="-4"/>
          <w:sz w:val="32"/>
          <w:szCs w:val="32"/>
        </w:rPr>
        <w:t>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（三）项目产出情况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项目产出类指标包括产出数量、产出质量、产出成本三方面的内容，由3个三级指标构成，权重分为40分，实际得分35分，得分率为87.5%。</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对于“产出数量”。安排前期费项目覆盖地州数14，与预期目标一致，根据评分标准，该指标不扣分，得5分。安排基建投资项目覆盖地州14，与预期目标一致，根据评分标准，该指标不扣分，得5分，合计得10分。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对于“产出质量”。项目均已下达的建设内容建设，与预期目标一致，根据评分标准，该指标不扣分，得5分。当年完工项目工程质量合格率为100%，与预期目标一致，根据评分标准，该指标不扣分，得5分。截至2024年12月31日，根据各地、有关部门汇总数据，项目投资计划完成率81%，超出80%的年度绩效目标任务，根据评分标准，该指标得5分。截至2024年12月31日，根据各地、有关部门汇总数据，资金拨付率62%，未达到80%的年度绩效目标任务，根据评分标准，该指标不得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合计得10分。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3.</w:t>
      </w:r>
      <w:r>
        <w:rPr>
          <w:rStyle w:val="18"/>
          <w:rFonts w:hint="default" w:ascii="Times New Roman" w:hAnsi="Times New Roman" w:eastAsia="仿宋_GB2312" w:cs="Times New Roman"/>
          <w:b w:val="0"/>
          <w:spacing w:val="-4"/>
          <w:sz w:val="32"/>
          <w:szCs w:val="32"/>
        </w:rPr>
        <w:t>对于“产出时效”。无此项指标。</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4.</w:t>
      </w:r>
      <w:r>
        <w:rPr>
          <w:rStyle w:val="18"/>
          <w:rFonts w:hint="default" w:ascii="Times New Roman" w:hAnsi="Times New Roman" w:eastAsia="仿宋_GB2312" w:cs="Times New Roman"/>
          <w:b w:val="0"/>
          <w:spacing w:val="-4"/>
          <w:sz w:val="32"/>
          <w:szCs w:val="32"/>
        </w:rPr>
        <w:t>对于“产出成本”。安排前期费64366万元，前期费下达比例为42.9%。符合预计绩效目标：前期费下达比例大于等于30%绩效目标。根据评分标准，该指标不扣分，得5分。安排基建投资85634万元,基建投资下达比例为57.1%。符合预计绩效目标：基建投资下达比例小于等于70%绩效目标。根据评分标准，该指标不扣分，得5分。合计得10分。</w:t>
      </w:r>
    </w:p>
    <w:p>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（四）项目效益情况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项目效益类指标包括项目效益1个方面的内容，由1个三级指标构成，权重分为20分，实际得分20分，得分率为100%。</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实施效益指标。对于“经济效益指标”：补齐了当地短板和弱项，增强了可持续发展能力，与预期指标一致，根据评分标准，该指标不扣分，得6分。对于“社会效益指标”：有效促进基层民生改善、社会和谐稳定，与预期指标一致，根据评分标准，该指标不扣分，得6分。对于“可持续影响指标”：有效提升公共服务，与预期指标一致，根据评分标准，该指标不扣分，得8分。实施效益指标合计得20分。对于“满意度指标：无此项指标。</w:t>
      </w: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五、主要经验及做法、存在的问题及原因分析</w:t>
      </w:r>
    </w:p>
    <w:p>
      <w:pPr>
        <w:spacing w:line="580" w:lineRule="exact"/>
        <w:ind w:firstLine="624" w:firstLineChars="200"/>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（一）主要经验及做法</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加大基础设施、民生等领域补短板力度，发挥投资对经济增长的关键作用，确保经济平稳健康发展。二是集中资金加快改善自治区基础设施条件，国家逐步加大对新疆的支持力度，基础设施建设仍面临部分项目没有补助投资渠道、地方配套资金无法落实等实际困难，我委在安排自治区预算内投资时，重点解决基础设施及民生项目资金短板问题，使项目建设更好体现以人民为中心的思想，更多地惠及各族群众。三是做好规划项目有序接力，规划编制和项目前期是推动项目建设的前期基础，规划研究和项目前期工作越深入，争取国家项目资金支持越主动。我委适当安排前期工作经费和重点规划课题研究，有利于做好自治区各行业政策、规划顶层设计，实现地方规划与国家规划的有序衔接，促进投资有效增长。</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（二）存在问题及原因分析</w:t>
      </w:r>
      <w:r>
        <w:rPr>
          <w:rStyle w:val="18"/>
          <w:rFonts w:hint="default" w:ascii="Times New Roman" w:hAnsi="Times New Roman" w:eastAsia="楷体_GB2312" w:cs="Times New Roman"/>
          <w:b w:val="0"/>
          <w:spacing w:val="-4"/>
          <w:sz w:val="32"/>
          <w:szCs w:val="32"/>
        </w:rPr>
        <w:br w:type="textWrapping"/>
      </w:r>
      <w:r>
        <w:rPr>
          <w:rStyle w:val="18"/>
          <w:rFonts w:hint="eastAsia" w:eastAsia="楷体_GB2312" w:cs="Times New Roman"/>
          <w:b w:val="0"/>
          <w:spacing w:val="-4"/>
          <w:sz w:val="32"/>
          <w:szCs w:val="32"/>
          <w:lang w:val="en-US" w:eastAsia="zh-CN"/>
        </w:rPr>
        <w:t xml:space="preserve">    </w:t>
      </w:r>
      <w:r>
        <w:rPr>
          <w:rStyle w:val="18"/>
          <w:rFonts w:hint="default" w:ascii="Times New Roman" w:hAnsi="Times New Roman" w:eastAsia="仿宋_GB2312" w:cs="Times New Roman"/>
          <w:b w:val="0"/>
          <w:spacing w:val="-4"/>
          <w:sz w:val="32"/>
          <w:szCs w:val="32"/>
        </w:rPr>
        <w:t>目前自治区本级及各地州县市建设项目多、任务重，由于我区经济发展相对滞后，各级财政资金十分紧张，可用于基础设施建设的资金极为有限，建设资金需求量非常大，而自治区预算内投资规模又十分</w:t>
      </w:r>
      <w:bookmarkStart w:id="0" w:name="_GoBack"/>
      <w:bookmarkEnd w:id="0"/>
      <w:r>
        <w:rPr>
          <w:rStyle w:val="18"/>
          <w:rFonts w:hint="default" w:ascii="Times New Roman" w:hAnsi="Times New Roman" w:eastAsia="仿宋_GB2312" w:cs="Times New Roman"/>
          <w:b w:val="0"/>
          <w:spacing w:val="-4"/>
          <w:sz w:val="32"/>
          <w:szCs w:val="32"/>
        </w:rPr>
        <w:t>有限，远远不能满足实际需求，还需要自治区财政进一步加大投入力度。</w:t>
      </w:r>
    </w:p>
    <w:p>
      <w:pPr>
        <w:spacing w:line="580" w:lineRule="exact"/>
        <w:ind w:firstLine="624" w:firstLineChars="20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六、有关建议</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1.根据自治区财力状况逐步增加自治区预算内投资规模，以发挥投资的引导带动作用，争取国家更多补助资金，带动相关领域项目建设，推动自治区经济社会高质量发展。</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2.加强绩效管理重视程度，定期组织绩效管理培训。</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3.及时下拨资金，履行主管部门监管职能，不断提高资金的使用绩效,对跨年度实施项目资金当年未支出完毕的，可以结转到第二年使用，确保项目顺利推进建设。</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4.各项目单位严格执行项目调度和档案管理制度，每月将项目开工情况、投资完成情况、工程形象进度等数据报送我委对口处室，并做好项目审批、施工、采购、财务账目、合同签订等各环节文件归档整理。</w:t>
      </w:r>
    </w:p>
    <w:p>
      <w:pPr>
        <w:spacing w:line="580" w:lineRule="exact"/>
        <w:ind w:firstLine="567"/>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七、其他需要说明的问题</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我单位对上述项目支出绩效评价报告内反映内容的真实性、完整性负责，接受上级部门及社会公众监督。</w:t>
      </w:r>
    </w:p>
    <w:p>
      <w:pPr>
        <w:spacing w:line="580" w:lineRule="exact"/>
        <w:ind w:firstLine="567"/>
        <w:rPr>
          <w:rStyle w:val="18"/>
          <w:rFonts w:hint="default" w:ascii="Times New Roman" w:hAnsi="Times New Roman" w:eastAsia="仿宋_GB2312" w:cs="Times New Roman"/>
          <w:b w:val="0"/>
          <w:spacing w:val="-4"/>
          <w:sz w:val="32"/>
          <w:szCs w:val="32"/>
        </w:rPr>
      </w:pPr>
    </w:p>
    <w:p>
      <w:pPr>
        <w:spacing w:line="580" w:lineRule="exact"/>
        <w:ind w:firstLine="567"/>
        <w:rPr>
          <w:rStyle w:val="18"/>
          <w:rFonts w:hint="default" w:ascii="Times New Roman" w:hAnsi="Times New Roman" w:eastAsia="仿宋_GB2312" w:cs="Times New Roman"/>
          <w:b w:val="0"/>
          <w:spacing w:val="-4"/>
          <w:sz w:val="32"/>
          <w:szCs w:val="32"/>
        </w:rPr>
      </w:pPr>
    </w:p>
    <w:sectPr>
      <w:footerReference r:id="rId4"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12"/>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17</w:t>
                              </w:r>
                              <w:r>
                                <w:rPr>
                                  <w:rFonts w:hint="eastAsia" w:asciiTheme="minorEastAsia" w:hAnsiTheme="minorEastAsia" w:eastAsiaTheme="minorEastAsia" w:cstheme="minorEastAsia"/>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sdt>
                    <w:sdtPr>
                      <w:id w:val="422003363"/>
                    </w:sdtPr>
                    <w:sdtContent>
                      <w:p>
                        <w:pPr>
                          <w:pStyle w:val="12"/>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17</w:t>
                        </w:r>
                        <w:r>
                          <w:rPr>
                            <w:rFonts w:hint="eastAsia" w:asciiTheme="minorEastAsia" w:hAnsiTheme="minorEastAsia" w:eastAsiaTheme="minorEastAsia" w:cstheme="minorEastAsia"/>
                            <w:sz w:val="28"/>
                            <w:szCs w:val="28"/>
                          </w:rPr>
                          <w:fldChar w:fldCharType="end"/>
                        </w:r>
                      </w:p>
                    </w:sdtContent>
                  </w:sdt>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54820"/>
    <w:rsid w:val="004A05EE"/>
    <w:rsid w:val="004C38BC"/>
    <w:rsid w:val="004C55BB"/>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30655"/>
    <w:rsid w:val="00C56C72"/>
    <w:rsid w:val="00C62CB9"/>
    <w:rsid w:val="00CA6457"/>
    <w:rsid w:val="00CA6DC2"/>
    <w:rsid w:val="00CD37A4"/>
    <w:rsid w:val="00CE2FD9"/>
    <w:rsid w:val="00D004BA"/>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FB747D2"/>
    <w:rsid w:val="4C3D1751"/>
    <w:rsid w:val="4D2606A1"/>
    <w:rsid w:val="4EF6F44F"/>
    <w:rsid w:val="5EC6950F"/>
    <w:rsid w:val="7BF41F3E"/>
    <w:rsid w:val="EFFA5A99"/>
    <w:rsid w:val="F7FD0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1314</Words>
  <Characters>7493</Characters>
  <Lines>62</Lines>
  <Paragraphs>17</Paragraphs>
  <TotalTime>4</TotalTime>
  <ScaleCrop>false</ScaleCrop>
  <LinksUpToDate>false</LinksUpToDate>
  <CharactersWithSpaces>8790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2018-08-16T02:06:00Z</dcterms:created>
  <dc:creator>赵 恺（预算处）</dc:creator>
  <cp:lastModifiedBy>fgw</cp:lastModifiedBy>
  <cp:lastPrinted>2019-01-01T10:56:00Z</cp:lastPrinted>
  <dcterms:modified xsi:type="dcterms:W3CDTF">2025-08-18T12:14:51Z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