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方正小标宋_GBK"/>
          <w:kern w:val="0"/>
          <w:sz w:val="44"/>
          <w:szCs w:val="44"/>
        </w:rPr>
      </w:pPr>
      <w:r>
        <w:rPr>
          <w:rFonts w:eastAsia="方正小标宋_GBK"/>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仿宋_GB2312"/>
          <w:kern w:val="0"/>
          <w:sz w:val="36"/>
          <w:szCs w:val="36"/>
        </w:rPr>
      </w:pPr>
      <w:r>
        <w:rPr>
          <w:rFonts w:eastAsia="仿宋_GB2312"/>
          <w:kern w:val="0"/>
          <w:sz w:val="36"/>
          <w:szCs w:val="36"/>
        </w:rPr>
        <w:t>（</w:t>
      </w:r>
      <w:r>
        <w:rPr>
          <w:rStyle w:val="18"/>
          <w:rFonts w:eastAsia="楷体"/>
          <w:b w:val="0"/>
          <w:spacing w:val="-4"/>
          <w:sz w:val="32"/>
          <w:szCs w:val="32"/>
        </w:rPr>
        <w:t>2024</w:t>
      </w:r>
      <w:r>
        <w:rPr>
          <w:rFonts w:eastAsia="仿宋_GB2312"/>
          <w:kern w:val="0"/>
          <w:sz w:val="36"/>
          <w:szCs w:val="36"/>
        </w:rPr>
        <w:t>年度）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eastAsia="仿宋_GB2312"/>
          <w:kern w:val="0"/>
          <w:sz w:val="36"/>
          <w:szCs w:val="36"/>
        </w:rPr>
      </w:pPr>
      <w:r>
        <w:rPr>
          <w:rFonts w:eastAsia="仿宋_GB2312"/>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eastAsia="仿宋_GB2312"/>
          <w:b/>
          <w:kern w:val="0"/>
          <w:sz w:val="32"/>
          <w:szCs w:val="32"/>
        </w:rPr>
      </w:pPr>
      <w:r>
        <w:rPr>
          <w:rFonts w:hint="eastAsia" w:eastAsia="仿宋_GB2312"/>
          <w:kern w:val="0"/>
          <w:sz w:val="32"/>
          <w:szCs w:val="32"/>
          <w:lang w:val="en-US" w:eastAsia="zh-CN"/>
        </w:rPr>
        <w:t xml:space="preserve"> </w:t>
      </w:r>
      <w:r>
        <w:rPr>
          <w:rFonts w:eastAsia="仿宋_GB2312"/>
          <w:kern w:val="0"/>
          <w:sz w:val="32"/>
          <w:szCs w:val="32"/>
        </w:rPr>
        <w:t>项目名称：</w:t>
      </w:r>
      <w:r>
        <w:rPr>
          <w:rStyle w:val="18"/>
          <w:rFonts w:eastAsia="仿宋_GB2312"/>
          <w:b w:val="0"/>
          <w:spacing w:val="-4"/>
          <w:sz w:val="32"/>
          <w:szCs w:val="32"/>
        </w:rPr>
        <w:t>能源工作专项经费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_GB2312"/>
          <w:b/>
          <w:bCs/>
          <w:spacing w:val="-4"/>
          <w:sz w:val="32"/>
          <w:szCs w:val="32"/>
        </w:rPr>
      </w:pPr>
      <w:r>
        <w:rPr>
          <w:rFonts w:hint="eastAsia" w:eastAsia="仿宋_GB2312"/>
          <w:kern w:val="0"/>
          <w:sz w:val="32"/>
          <w:szCs w:val="32"/>
          <w:lang w:val="en-US" w:eastAsia="zh-CN"/>
        </w:rPr>
        <w:t xml:space="preserve"> </w:t>
      </w:r>
      <w:r>
        <w:rPr>
          <w:rFonts w:eastAsia="仿宋_GB2312"/>
          <w:kern w:val="0"/>
          <w:sz w:val="32"/>
          <w:szCs w:val="32"/>
        </w:rPr>
        <w:t>实施单位：</w:t>
      </w:r>
      <w:r>
        <w:rPr>
          <w:rStyle w:val="18"/>
          <w:rFonts w:eastAsia="仿宋_GB2312"/>
          <w:b w:val="0"/>
          <w:spacing w:val="-4"/>
          <w:sz w:val="32"/>
          <w:szCs w:val="32"/>
        </w:rPr>
        <w:t>新疆维吾尔自治区发展和改革委员会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_GB2312"/>
          <w:b/>
          <w:bCs/>
          <w:spacing w:val="-4"/>
          <w:sz w:val="32"/>
          <w:szCs w:val="32"/>
        </w:rPr>
      </w:pPr>
      <w:r>
        <w:rPr>
          <w:rFonts w:hint="eastAsia" w:eastAsia="仿宋_GB2312"/>
          <w:kern w:val="0"/>
          <w:sz w:val="32"/>
          <w:szCs w:val="32"/>
          <w:lang w:val="en-US" w:eastAsia="zh-CN"/>
        </w:rPr>
        <w:t xml:space="preserve"> </w:t>
      </w:r>
      <w:r>
        <w:rPr>
          <w:rFonts w:eastAsia="仿宋_GB2312"/>
          <w:kern w:val="0"/>
          <w:sz w:val="32"/>
          <w:szCs w:val="32"/>
        </w:rPr>
        <w:t>主管部门：</w:t>
      </w:r>
      <w:r>
        <w:rPr>
          <w:rStyle w:val="18"/>
          <w:rFonts w:eastAsia="仿宋_GB2312"/>
          <w:b w:val="0"/>
          <w:spacing w:val="-4"/>
          <w:sz w:val="32"/>
          <w:szCs w:val="32"/>
        </w:rPr>
        <w:t>新疆维吾尔自治区发展和改革委员会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_GB2312"/>
          <w:b/>
          <w:bCs/>
          <w:spacing w:val="-4"/>
          <w:sz w:val="32"/>
          <w:szCs w:val="32"/>
        </w:rPr>
      </w:pPr>
      <w:r>
        <w:rPr>
          <w:rFonts w:hint="eastAsia" w:eastAsia="仿宋_GB2312"/>
          <w:kern w:val="0"/>
          <w:sz w:val="32"/>
          <w:szCs w:val="32"/>
          <w:lang w:val="en-US" w:eastAsia="zh-CN"/>
        </w:rPr>
        <w:t xml:space="preserve"> </w:t>
      </w:r>
      <w:r>
        <w:rPr>
          <w:rFonts w:eastAsia="仿宋_GB2312"/>
          <w:kern w:val="0"/>
          <w:sz w:val="32"/>
          <w:szCs w:val="32"/>
        </w:rPr>
        <w:t>项目负责人：</w:t>
      </w:r>
      <w:r>
        <w:rPr>
          <w:rStyle w:val="18"/>
          <w:rFonts w:eastAsia="仿宋_GB2312"/>
          <w:b w:val="0"/>
          <w:spacing w:val="-4"/>
          <w:sz w:val="32"/>
          <w:szCs w:val="32"/>
        </w:rPr>
        <w:t>李晨阳</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Style w:val="18"/>
          <w:rFonts w:eastAsia="仿宋_GB2312"/>
          <w:b w:val="0"/>
          <w:spacing w:val="-4"/>
          <w:sz w:val="32"/>
          <w:szCs w:val="32"/>
        </w:rPr>
      </w:pPr>
      <w:r>
        <w:rPr>
          <w:rFonts w:hint="eastAsia" w:eastAsia="仿宋_GB2312"/>
          <w:kern w:val="0"/>
          <w:sz w:val="32"/>
          <w:szCs w:val="32"/>
          <w:lang w:val="en-US" w:eastAsia="zh-CN"/>
        </w:rPr>
        <w:t xml:space="preserve"> </w:t>
      </w:r>
      <w:r>
        <w:rPr>
          <w:rFonts w:eastAsia="仿宋_GB2312"/>
          <w:kern w:val="0"/>
          <w:sz w:val="32"/>
          <w:szCs w:val="32"/>
        </w:rPr>
        <w:t>填报时间：</w:t>
      </w:r>
      <w:r>
        <w:rPr>
          <w:rStyle w:val="18"/>
          <w:rFonts w:eastAsia="仿宋_GB2312"/>
          <w:b w:val="0"/>
          <w:spacing w:val="-4"/>
          <w:sz w:val="32"/>
          <w:szCs w:val="32"/>
        </w:rPr>
        <w:t>2025年03月10日</w:t>
      </w:r>
    </w:p>
    <w:p>
      <w:pPr>
        <w:keepNext w:val="0"/>
        <w:keepLines w:val="0"/>
        <w:pageBreakBefore w:val="0"/>
        <w:widowControl w:val="0"/>
        <w:kinsoku/>
        <w:wordWrap/>
        <w:overflowPunct/>
        <w:topLinePunct w:val="0"/>
        <w:autoSpaceDE/>
        <w:autoSpaceDN/>
        <w:bidi w:val="0"/>
        <w:adjustRightInd/>
        <w:snapToGrid/>
        <w:spacing w:line="580" w:lineRule="exact"/>
        <w:ind w:firstLine="708" w:firstLineChars="236"/>
        <w:jc w:val="left"/>
        <w:textAlignment w:val="auto"/>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eastAsia="黑体"/>
          <w:b w:val="0"/>
          <w:spacing w:val="-4"/>
          <w:sz w:val="32"/>
          <w:szCs w:val="32"/>
        </w:rPr>
        <w:sectPr>
          <w:pgSz w:w="11906" w:h="16838"/>
          <w:pgMar w:top="2098" w:right="1531" w:bottom="1928" w:left="1531"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eastAsia="黑体"/>
          <w:b w:val="0"/>
          <w:spacing w:val="-4"/>
          <w:sz w:val="32"/>
          <w:szCs w:val="32"/>
        </w:rPr>
      </w:pPr>
      <w:r>
        <w:rPr>
          <w:rStyle w:val="18"/>
          <w:rFonts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楷体_GB2312"/>
          <w:b w:val="0"/>
          <w:spacing w:val="-4"/>
          <w:sz w:val="32"/>
          <w:szCs w:val="32"/>
        </w:rPr>
      </w:pPr>
      <w:r>
        <w:rPr>
          <w:rStyle w:val="18"/>
          <w:rFonts w:eastAsia="楷体_GB2312"/>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能源工作专项经费遵循财政部《项目支出绩效评价管理办法》（财预〔2020〕10号）和自治区财政厅《自治区财政支出绩效评价管理暂行办法》（新财预〔2018〕189号）等相关政策文件与规定，根据《自治区党委办公厅 自治区人民政府办公厅关于印发〈新疆维吾尔自治区发展和改革委员会职能配置、内设机构和人员编制规定〉的通知》（新党厅字〔2019〕56号）《安全生产法》《中华人民共和国电力法》《中华人民共和国油气管道保护法》《电力设施保护条例》《电力监管条例》《电力建设工程质量监督规定》等文件有关要求立项。</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2.主要内容及实施情况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能源工作专项经费的主管部门和实施单位均为自治区发展和改革委员会，用于能源方面9个处室依法依规履行部门职责、正常开展业务工作产生的支出，主要是差旅费、专家费等支出。</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根据自治区财政预算安排资金91万元，截至2024年12月31日，实际支出91万元，预算执行率100%。</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仿宋_GB2312"/>
          <w:b w:val="0"/>
          <w:spacing w:val="-4"/>
          <w:sz w:val="32"/>
          <w:szCs w:val="32"/>
        </w:rPr>
      </w:pPr>
      <w:r>
        <w:rPr>
          <w:rStyle w:val="18"/>
          <w:rFonts w:eastAsia="楷体_GB2312"/>
          <w:b w:val="0"/>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1.项目绩效总目标。总体目标为：自治区能源工作将深入贯彻“四个革命、一个合作”能源安全新战略，立足能源资源禀赋和区位优势，全面加快国家新时代“三基地一通道”建设，培育壮大煤炭煤电煤化工、油气生产加工、新能源新材料等产业集群，力争2024年，全区原煤产量5亿吨、原油产量3300万吨、天然气产量420亿立方米、新增新能源装机2000万千瓦以上,全力保障国家能源安全。做好职责范围内电力安全生产和油气管道保护工作，组织开展全区能源领域安全生产日常监督检查、重点时段专项检查及电力安全生产及油气管道保护专项整治工作14次，专家指导服务专项工作1次，电力安全生产、油气管道保护行业领域培训工作各1次；组织开展安全生产月、消防宣传月普法宣传活动，牢固树立安全发展理念，切实保障全区人民生命和财产安全。</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eastAsia="黑体"/>
          <w:b w:val="0"/>
          <w:spacing w:val="-4"/>
          <w:sz w:val="32"/>
          <w:szCs w:val="32"/>
        </w:rPr>
      </w:pPr>
      <w:r>
        <w:rPr>
          <w:rStyle w:val="18"/>
          <w:rFonts w:eastAsia="黑体"/>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楷体_GB2312"/>
          <w:b w:val="0"/>
          <w:spacing w:val="-4"/>
          <w:sz w:val="32"/>
          <w:szCs w:val="32"/>
        </w:rPr>
      </w:pPr>
      <w:r>
        <w:rPr>
          <w:rStyle w:val="18"/>
          <w:rFonts w:eastAsia="楷体_GB2312"/>
          <w:b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1.绩效评价目的。本次绩效评价遵循财政部《项目支出绩效评价管理办法》（财预〔2020〕10号）和自治区财政厅《自治区财政支出绩效评价管理暂行办法》（新财预〔2018〕189号）等相关政策文件与规定，旨在评价能源工作专项经费实施前期、过程及效果，评价财政预算资金使用的效率及效益。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2.绩效评价对象。本次绩效评价遵循财政部《项目支出绩效评价管理办法》（财预〔2020〕10号）和自治区财政厅《自治区财政支出绩效评价管理暂行办法》（新财预〔2018〕189号）等相关政策文件与规定，以能源专项经费支出为对象所对应的预算资金，以项目实施所带来的产出和效果为主要内容，以促进预算单位完成特定工作任务目标所组织开展的绩效评价。</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3.绩效评价范围。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楷体_GB2312"/>
          <w:b w:val="0"/>
          <w:spacing w:val="-4"/>
          <w:sz w:val="32"/>
          <w:szCs w:val="32"/>
        </w:rPr>
      </w:pPr>
      <w:r>
        <w:rPr>
          <w:rStyle w:val="18"/>
          <w:rFonts w:eastAsia="楷体_GB2312"/>
          <w:b w:val="0"/>
          <w:spacing w:val="-4"/>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仿宋_GB2312"/>
          <w:b w:val="0"/>
          <w:spacing w:val="-4"/>
          <w:sz w:val="32"/>
          <w:szCs w:val="32"/>
        </w:rPr>
      </w:pPr>
      <w:r>
        <w:rPr>
          <w:rStyle w:val="18"/>
          <w:rFonts w:eastAsia="仿宋_GB2312"/>
          <w:b w:val="0"/>
          <w:spacing w:val="-4"/>
          <w:sz w:val="32"/>
          <w:szCs w:val="32"/>
        </w:rPr>
        <w:t>1.绩效评价原则。本次绩效评价遵循的原则包括：（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仿宋_GB2312"/>
          <w:b w:val="0"/>
          <w:spacing w:val="-4"/>
          <w:sz w:val="32"/>
          <w:szCs w:val="32"/>
        </w:rPr>
      </w:pPr>
      <w:r>
        <w:rPr>
          <w:rStyle w:val="18"/>
          <w:rFonts w:eastAsia="仿宋_GB2312"/>
          <w:b w:val="0"/>
          <w:spacing w:val="-4"/>
          <w:sz w:val="32"/>
          <w:szCs w:val="32"/>
        </w:rPr>
        <w:t>2.绩效评价指标体系。绩效评价指标体系根据《预算绩效评价共性指标体系框架》（财预〔2013〕53号）、《自治区党委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一级指标为：产出指标、成本指标、效益指标、满意度指标。</w:t>
      </w:r>
      <w:r>
        <w:rPr>
          <w:rStyle w:val="18"/>
          <w:rFonts w:eastAsia="仿宋_GB2312"/>
          <w:b w:val="0"/>
          <w:spacing w:val="-4"/>
          <w:sz w:val="32"/>
          <w:szCs w:val="32"/>
        </w:rPr>
        <w:br w:type="textWrapping"/>
      </w:r>
      <w:r>
        <w:rPr>
          <w:rStyle w:val="18"/>
          <w:rFonts w:eastAsia="仿宋_GB2312"/>
          <w:b w:val="0"/>
          <w:spacing w:val="-4"/>
          <w:sz w:val="32"/>
          <w:szCs w:val="32"/>
        </w:rPr>
        <w:t>二级指标为：数量指标、质量指标、时效指标、经济成本指标、社会效益指标、满意度指标三级指标为：电力安全生产日常检查次数、油气管道保护日常检查次数、普法宣传次数、会议（培训）次数、地、州、市检查覆盖率、会议按期完成率、年度检查任务按时完成率、督查检查成本，参加疆内外各类会议、培训、调研等成本，以及赴14个地、州、市调研成本，普法宣传成本、培训成本、问题整改落实率、检查结果公开率、参会人员满意度、检查人员被投诉次数。</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仿宋_GB2312"/>
          <w:b w:val="0"/>
          <w:spacing w:val="-4"/>
          <w:sz w:val="32"/>
          <w:szCs w:val="32"/>
        </w:rPr>
      </w:pPr>
      <w:r>
        <w:rPr>
          <w:rStyle w:val="18"/>
          <w:rFonts w:eastAsia="仿宋_GB2312"/>
          <w:b w:val="0"/>
          <w:spacing w:val="-4"/>
          <w:sz w:val="32"/>
          <w:szCs w:val="32"/>
        </w:rPr>
        <w:t>3.绩效评价方法。本次评价采用定量与定性评价相结合的比较法，公众评判法，总分由各项指标得分汇总形成。比较法：通过整理本项目相关资料和数据，评价数量指标的完成情况；通过分析项目的实施情况与绩效目标实现情况，评价项目实施的效果。</w:t>
      </w:r>
      <w:r>
        <w:rPr>
          <w:rStyle w:val="18"/>
          <w:rFonts w:eastAsia="仿宋_GB2312"/>
          <w:b w:val="0"/>
          <w:spacing w:val="-4"/>
          <w:sz w:val="32"/>
          <w:szCs w:val="32"/>
        </w:rPr>
        <w:br w:type="textWrapping"/>
      </w:r>
      <w:r>
        <w:rPr>
          <w:rStyle w:val="18"/>
          <w:rFonts w:eastAsia="仿宋_GB2312"/>
          <w:b w:val="0"/>
          <w:spacing w:val="-4"/>
          <w:sz w:val="32"/>
          <w:szCs w:val="32"/>
        </w:rPr>
        <w:t>公众评判法：采用问卷调查方式，对受益对象开展满意度调查，进行综合评价。</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仿宋_GB2312"/>
          <w:b w:val="0"/>
          <w:spacing w:val="-4"/>
          <w:sz w:val="32"/>
          <w:szCs w:val="32"/>
        </w:rPr>
      </w:pPr>
      <w:r>
        <w:rPr>
          <w:rStyle w:val="18"/>
          <w:rFonts w:eastAsia="仿宋_GB2312"/>
          <w:b w:val="0"/>
          <w:spacing w:val="-4"/>
          <w:sz w:val="32"/>
          <w:szCs w:val="32"/>
        </w:rPr>
        <w:t>4.绩效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eastAsia="楷体_GB2312"/>
          <w:b w:val="0"/>
          <w:spacing w:val="-4"/>
          <w:sz w:val="32"/>
          <w:szCs w:val="32"/>
        </w:rPr>
      </w:pPr>
      <w:r>
        <w:rPr>
          <w:rStyle w:val="18"/>
          <w:rFonts w:eastAsia="楷体_GB2312"/>
          <w:b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金睿任评价组组长，绩效评价工作职责为负责全盘工作。李超峰、刘金龙、谭怡然任评价组成员，绩效评价工作职责为对项目实施情况进行实地调查负责资料审核等工作。</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第二阶段：组织实施。经评价组通过实地调研、查阅资料等方式，采用综合分析法对项目的决策、管理、绩效进行的综合评价分析。</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第四阶段：撰写与提交评价报告。项目撰写绩效评价报告，按照财政局大平台绩效系统中统一格式和文本框架撰写绩效评价报告。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第五阶段：归集档案。建立和落实档案管理制度，将项目相关资料存档，包括但不限于：评价项目基本情况和相关文件、评价实施方案、项目支付资料等相关档案。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eastAsia="黑体"/>
          <w:b w:val="0"/>
          <w:spacing w:val="-4"/>
          <w:sz w:val="32"/>
          <w:szCs w:val="32"/>
        </w:rPr>
      </w:pPr>
      <w:r>
        <w:rPr>
          <w:rStyle w:val="18"/>
          <w:rFonts w:eastAsia="黑体"/>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楷体_GB2312"/>
          <w:b w:val="0"/>
          <w:spacing w:val="-4"/>
          <w:sz w:val="32"/>
          <w:szCs w:val="32"/>
        </w:rPr>
      </w:pPr>
      <w:r>
        <w:rPr>
          <w:rStyle w:val="18"/>
          <w:rFonts w:eastAsia="楷体_GB2312"/>
          <w:b w:val="0"/>
          <w:spacing w:val="-4"/>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能源工作专项经费总体组织规范，完成了能源工作专项经费的工作目标，有效规范了项目档案资料的整理，推动了自治区能源高质量发展。</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楷体_GB2312"/>
          <w:b w:val="0"/>
          <w:spacing w:val="-4"/>
          <w:sz w:val="32"/>
          <w:szCs w:val="32"/>
        </w:rPr>
      </w:pPr>
      <w:r>
        <w:rPr>
          <w:rStyle w:val="18"/>
          <w:rFonts w:eastAsia="仿宋_GB2312"/>
          <w:b w:val="0"/>
          <w:spacing w:val="-4"/>
          <w:sz w:val="32"/>
          <w:szCs w:val="32"/>
        </w:rPr>
        <w:t>在项目决策方面，能源工作专项经费立项依据充分，立项程序规范；在项目管理方面，2024年本项目预算安排91万元，实际支出91万元，预算执行率100%。项目资金使用合规，项目财务管理制度健全，财务监控到位，所有资金支付均按照国库集中支付制度严格执行，现有项目管理制度执行情况良好；在项目产出方面：做好职责范围内电力安全生产和油气管道保护工作，组织开展全区能源领域安全生产日常监督检查、重点时段专项检查及电力安全生产及油气管道保护专项整治工作14次，专家指导服务专项工作1次，电力安全生产、油气管道保护行业领域培训工作各1次；组织开展安全生产月、消防宣传月普法宣传活动，牢固树立安全发展理念，切实保障全区人民生命和财产安全；在项目效益方面：全区原煤产量5亿吨、原油产量3300万吨、天然气产量420亿立方米、新增新能源装机2000万千瓦以上,全力保障国家能源安全。</w:t>
      </w:r>
      <w:r>
        <w:rPr>
          <w:rStyle w:val="18"/>
          <w:rFonts w:eastAsia="仿宋_GB2312"/>
          <w:b w:val="0"/>
          <w:spacing w:val="-4"/>
          <w:sz w:val="32"/>
          <w:szCs w:val="32"/>
        </w:rPr>
        <w:br w:type="textWrapping"/>
      </w:r>
      <w:r>
        <w:rPr>
          <w:rStyle w:val="18"/>
          <w:rFonts w:eastAsia="仿宋_GB2312"/>
          <w:b w:val="0"/>
          <w:spacing w:val="-4"/>
          <w:sz w:val="32"/>
          <w:szCs w:val="32"/>
        </w:rPr>
        <w:t xml:space="preserve">    </w:t>
      </w:r>
      <w:r>
        <w:rPr>
          <w:rStyle w:val="18"/>
          <w:rFonts w:eastAsia="楷体_GB2312"/>
          <w:b w:val="0"/>
          <w:spacing w:val="-4"/>
          <w:sz w:val="32"/>
          <w:szCs w:val="32"/>
        </w:rPr>
        <w:t>（二）综合评价结论</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运用项目组制定评价指标体系及财政部《项目支出绩效评价管理办法》（财预〔2020〕10号）文件评分标准进行评价，该项目最终评分93.11分，绩效评级为“良好”，具体得分情况为：产出指标40分、成本指标13.11分、效益指标20分、满意度指标10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eastAsia="黑体"/>
          <w:b w:val="0"/>
        </w:rPr>
      </w:pPr>
      <w:r>
        <w:rPr>
          <w:rStyle w:val="18"/>
          <w:rFonts w:eastAsia="黑体"/>
          <w:b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eastAsia="楷体_GB2312"/>
          <w:spacing w:val="-4"/>
          <w:sz w:val="32"/>
          <w:szCs w:val="32"/>
        </w:rPr>
      </w:pPr>
      <w:r>
        <w:rPr>
          <w:rFonts w:eastAsia="楷体_GB2312"/>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在项目决策方面，能源工作专项经费立项依据充分，立项程序规范。</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eastAsia="楷体_GB2312"/>
          <w:spacing w:val="-4"/>
          <w:sz w:val="32"/>
          <w:szCs w:val="32"/>
        </w:rPr>
      </w:pPr>
      <w:r>
        <w:rPr>
          <w:rFonts w:eastAsia="楷体_GB2312"/>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本项目支出共含有电力安全生产日常检查次数、油气管道保护日常检查次数、普法宣传次数、会议（培训）次数、地、州、市检查覆盖率、会议按期完成率、年度检查任务按时完成率、督查检查成本，参加疆内外各类会议、培训、调研等成本，以及赴14个地、州、市调研成本，普法宣传成本、培训成本、问题整改落实率、检查结果公开率、参会人员满意度、检查人员被投诉次数等15项三级指标，均按照完成比例赋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eastAsia="楷体_GB2312"/>
          <w:spacing w:val="-4"/>
          <w:sz w:val="32"/>
          <w:szCs w:val="32"/>
        </w:rPr>
      </w:pPr>
      <w:r>
        <w:rPr>
          <w:rFonts w:eastAsia="楷体_GB2312"/>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项目产出类指标包括：产出指标、成本指标、效益指标、满意度指标四方面的内容，由15个三级指标构成，权重分为90分，实际得分83.11分，得分率为92.34%。</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1.</w:t>
      </w:r>
      <w:r>
        <w:rPr>
          <w:rStyle w:val="18"/>
          <w:rFonts w:eastAsia="仿宋_GB2312"/>
          <w:b w:val="0"/>
          <w:spacing w:val="-4"/>
          <w:sz w:val="32"/>
          <w:szCs w:val="32"/>
        </w:rPr>
        <w:t>对于“产出指标”。电力安全生产日常检查次数≥7次，实际完成值7次，与预期目标一致，根据评分标准，该指标不扣分，得6分。油气管道保护日常检查次数≥7次，实际完成值7次，与预期目标一致，根据评分标准，该指标不扣分，得6分。普法宣传次数≥1次，实际完成值1次，与预期目标一致，根据评分标准，该指标不扣分，得6分。会议（培训）次数≥2次，实际完成值2次，与预期目标一致，根据评分标准，该指标不扣分，得6分。地、州、市检查覆盖率=100%，实际完成值100%，与预期目标一致，根据评分标准，该指标不扣分，得6分。会议按期完成率≥90%，实际完成值100%，与预期目标一致，根据评分标准，该指标不扣分，得5分。年度检查任务按时完成率=100%，实际完成值100%，与预期目标一致，根据评分标准，该指标不扣分，得5分。合计得40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2.</w:t>
      </w:r>
      <w:r>
        <w:rPr>
          <w:rStyle w:val="18"/>
          <w:rFonts w:eastAsia="仿宋_GB2312"/>
          <w:b w:val="0"/>
          <w:spacing w:val="-4"/>
          <w:sz w:val="32"/>
          <w:szCs w:val="32"/>
        </w:rPr>
        <w:t>对于“成本指标”。督查检查成本≤57.1万元，实际完成值57.1万元，与预期目标一致，根据评分标准，该指标不扣分，得5分。参加疆内外各类会议、培训、调研等成本≤28.9万元，实际完成值31.3万元，超出预期目标，根据评分标准，该指标得3.96分。普法宣传成本≤3万元，实际完成值2万元，低于预期目标，根据评分标准，该指标得2.5分。培训成本≤1万元，实际完成值0.6万元，低于预期目标，根据评分标准，该指标得1.65分。合计得13.11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3.</w:t>
      </w:r>
      <w:r>
        <w:rPr>
          <w:rStyle w:val="18"/>
          <w:rFonts w:eastAsia="仿宋_GB2312"/>
          <w:b w:val="0"/>
          <w:spacing w:val="-4"/>
          <w:sz w:val="32"/>
          <w:szCs w:val="32"/>
        </w:rPr>
        <w:t>对于“效益指标”。问题整改落实率=100%，实际完成值100%，与预期目标指标一致，根据评分标准，该指标不扣分，得10分。</w:t>
      </w:r>
      <w:r>
        <w:rPr>
          <w:rStyle w:val="18"/>
          <w:rFonts w:eastAsia="仿宋_GB2312"/>
          <w:b w:val="0"/>
          <w:spacing w:val="-4"/>
          <w:sz w:val="32"/>
          <w:szCs w:val="32"/>
        </w:rPr>
        <w:br w:type="textWrapping"/>
      </w:r>
      <w:r>
        <w:rPr>
          <w:rStyle w:val="18"/>
          <w:rFonts w:eastAsia="仿宋_GB2312"/>
          <w:b w:val="0"/>
          <w:spacing w:val="-4"/>
          <w:sz w:val="32"/>
          <w:szCs w:val="32"/>
        </w:rPr>
        <w:t>检查结果公开率=100%，实际完成值100%，与预期目标指标一致，根据评分标准，该指标不扣分，得10分。</w:t>
      </w:r>
      <w:r>
        <w:rPr>
          <w:rStyle w:val="18"/>
          <w:rFonts w:eastAsia="仿宋_GB2312"/>
          <w:b w:val="0"/>
          <w:spacing w:val="-4"/>
          <w:sz w:val="32"/>
          <w:szCs w:val="32"/>
        </w:rPr>
        <w:br w:type="textWrapping"/>
      </w:r>
      <w:r>
        <w:rPr>
          <w:rStyle w:val="18"/>
          <w:rFonts w:eastAsia="仿宋_GB2312"/>
          <w:b w:val="0"/>
          <w:spacing w:val="-4"/>
          <w:sz w:val="32"/>
          <w:szCs w:val="32"/>
        </w:rPr>
        <w:t>合计得20分。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4.</w:t>
      </w:r>
      <w:r>
        <w:rPr>
          <w:rStyle w:val="18"/>
          <w:rFonts w:eastAsia="仿宋_GB2312"/>
          <w:b w:val="0"/>
          <w:spacing w:val="-4"/>
          <w:sz w:val="32"/>
          <w:szCs w:val="32"/>
        </w:rPr>
        <w:t>对于“满意度指标”。参会人员满意度≥90%，实际完成值100%，与预期目标指标一致，根据评分标准，该指标不扣分，得5分。检查人员被投诉次数≤4次，实际完成值0次，与预期目标指标一致，根据评分标准，该指标不扣分，得5分</w:t>
      </w:r>
      <w:r>
        <w:rPr>
          <w:rStyle w:val="18"/>
          <w:rFonts w:eastAsia="仿宋_GB2312"/>
          <w:b w:val="0"/>
          <w:spacing w:val="-4"/>
          <w:sz w:val="32"/>
          <w:szCs w:val="32"/>
        </w:rPr>
        <w:br w:type="textWrapping"/>
      </w:r>
      <w:r>
        <w:rPr>
          <w:rStyle w:val="18"/>
          <w:rFonts w:eastAsia="仿宋_GB2312"/>
          <w:b w:val="0"/>
          <w:spacing w:val="-4"/>
          <w:sz w:val="32"/>
          <w:szCs w:val="32"/>
        </w:rPr>
        <w:t>合计得10分。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eastAsia="黑体"/>
          <w:spacing w:val="-4"/>
          <w:sz w:val="32"/>
          <w:szCs w:val="32"/>
        </w:rPr>
      </w:pPr>
      <w:r>
        <w:rPr>
          <w:rFonts w:eastAsia="黑体"/>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项目效益方面：全区原煤产量5亿吨、原油产量3300万吨、天然气产量420亿立方米、新增新能源装机2000万千瓦以上,全力保障国家能源安全。</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参会人员满意度≥90%，实际完成值100%，与预期目标指标一致，根据评分标准，该指标不扣分，得5分。</w:t>
      </w:r>
      <w:r>
        <w:rPr>
          <w:rStyle w:val="18"/>
          <w:rFonts w:eastAsia="仿宋_GB2312"/>
          <w:b w:val="0"/>
          <w:spacing w:val="-4"/>
          <w:sz w:val="32"/>
          <w:szCs w:val="32"/>
        </w:rPr>
        <w:br w:type="textWrapping"/>
      </w:r>
      <w:r>
        <w:rPr>
          <w:rStyle w:val="18"/>
          <w:rFonts w:eastAsia="仿宋_GB2312"/>
          <w:b w:val="0"/>
          <w:spacing w:val="-4"/>
          <w:sz w:val="32"/>
          <w:szCs w:val="32"/>
        </w:rPr>
        <w:t>检查人员被投诉次数≤4次，实际完成值0次，与预期目标指标一致，根据评分标准，该指标不扣分，得5分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eastAsia="黑体"/>
          <w:b w:val="0"/>
          <w:spacing w:val="-4"/>
          <w:sz w:val="32"/>
          <w:szCs w:val="32"/>
        </w:rPr>
      </w:pPr>
      <w:r>
        <w:rPr>
          <w:rStyle w:val="18"/>
          <w:rFonts w:eastAsia="黑体"/>
          <w:b w:val="0"/>
          <w:spacing w:val="-4"/>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本项目实施较好的主要原为管理制度完善、责任落实到位、跟踪考核机制完善且运行有效。一是加强预算和项目全生命周期管理，动态追踪资金使用情况，确保预算执行的规范性和透明度。二是深化预算绩效管理，通过绩效目标设定、运行监控和结果应用，强化资金使用的效益导向。三是科学设定绩效目标。按照《中共中央 国务院关于全面实施预算绩效管理的意见》（中发〔2018〕34号）、《项目支出绩效评价管理办法》（财预〔2020〕10号）等制度办法，与实际工作相结合，明确绩效目标设定思路和原则，使绩效目标能够涵盖政策与支出的主体内容，体现项目主要产出和核心效果，与预算金额相匹配。四是加强绩效目标监控。扎实开展绩效运行监控，做好项目实施过程中的跟踪问效，将绩效目标的实现程度、项目实施进度与预算执行进度动态结合，对资金使用偏离绩效目标及时预警纠偏，确保绩效目标如期保质保量实现。</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黑体"/>
          <w:b w:val="0"/>
          <w:spacing w:val="-4"/>
          <w:sz w:val="32"/>
          <w:szCs w:val="32"/>
        </w:rPr>
      </w:pPr>
      <w:r>
        <w:rPr>
          <w:rStyle w:val="18"/>
          <w:rFonts w:eastAsia="黑体"/>
          <w:b w:val="0"/>
          <w:spacing w:val="-4"/>
          <w:sz w:val="32"/>
          <w:szCs w:val="32"/>
        </w:rPr>
        <w:t>六、有关建议</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1.项目建设程序有待进一步规范。项目前期需进一步做好可行性研究报告，细化实施方案，严格执行资金管理办法和财政资金管理制度，严格按照项目实施方案、招投标管理办法稳步推进工作，各部门根据项目特点做好及时总结。</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2.项目评价资料有待进一步完善。项目启动时同步做好档案的归纳与整理，及时整理、收集、汇总，健全档案资料，项目后续管理有待进一步加强和跟踪。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3.通过绩效管理，及时发现实施中存在的漏洞，加强管理，及时掌握与之相关的各类信息，减少成本，使资金效益最大化。</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4.评价工作应从项目实施方案源头抓起，评价工作和意识应贯穿项目整个过程。</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黑体"/>
          <w:b w:val="0"/>
          <w:spacing w:val="-4"/>
          <w:sz w:val="32"/>
          <w:szCs w:val="32"/>
        </w:rPr>
      </w:pPr>
      <w:r>
        <w:rPr>
          <w:rStyle w:val="18"/>
          <w:rFonts w:eastAsia="黑体"/>
          <w:b w:val="0"/>
          <w:spacing w:val="-4"/>
          <w:sz w:val="32"/>
          <w:szCs w:val="32"/>
        </w:rPr>
        <w:t>七、其他需要说明的问题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我单位对项目支出绩效评价报告内容的真实性、完整性负责，接受上级部门及社会公众监督。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p>
    <w:sectPr>
      <w:footerReference r:id="rId3"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1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B775F"/>
    <w:rsid w:val="001028C5"/>
    <w:rsid w:val="00102DFF"/>
    <w:rsid w:val="00121AE4"/>
    <w:rsid w:val="0014601B"/>
    <w:rsid w:val="00146AAD"/>
    <w:rsid w:val="00150F05"/>
    <w:rsid w:val="001B3A40"/>
    <w:rsid w:val="001E595D"/>
    <w:rsid w:val="00273CCD"/>
    <w:rsid w:val="00291BC0"/>
    <w:rsid w:val="002B6ED2"/>
    <w:rsid w:val="00311DBE"/>
    <w:rsid w:val="00345DD7"/>
    <w:rsid w:val="00351EFF"/>
    <w:rsid w:val="003B0577"/>
    <w:rsid w:val="003E7E58"/>
    <w:rsid w:val="003F5180"/>
    <w:rsid w:val="00414C3A"/>
    <w:rsid w:val="00422C35"/>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797F60"/>
    <w:rsid w:val="00855E3A"/>
    <w:rsid w:val="0091457F"/>
    <w:rsid w:val="00922CB9"/>
    <w:rsid w:val="00925D36"/>
    <w:rsid w:val="00944DD1"/>
    <w:rsid w:val="009E5CD9"/>
    <w:rsid w:val="009F4373"/>
    <w:rsid w:val="00A26421"/>
    <w:rsid w:val="00A34588"/>
    <w:rsid w:val="00A37A2D"/>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70F05"/>
    <w:rsid w:val="00D80C1E"/>
    <w:rsid w:val="00DB1661"/>
    <w:rsid w:val="00DC70C2"/>
    <w:rsid w:val="00DF42A0"/>
    <w:rsid w:val="00E30E91"/>
    <w:rsid w:val="00E769FE"/>
    <w:rsid w:val="00E774CE"/>
    <w:rsid w:val="00E96D03"/>
    <w:rsid w:val="00EA2CBE"/>
    <w:rsid w:val="00EB10A0"/>
    <w:rsid w:val="00F32FEE"/>
    <w:rsid w:val="00FB10BB"/>
    <w:rsid w:val="0CB44F22"/>
    <w:rsid w:val="4C3D1751"/>
    <w:rsid w:val="4D2606A1"/>
    <w:rsid w:val="75F71287"/>
    <w:rsid w:val="CEFDC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846</Words>
  <Characters>4825</Characters>
  <Lines>40</Lines>
  <Paragraphs>11</Paragraphs>
  <TotalTime>0</TotalTime>
  <ScaleCrop>false</ScaleCrop>
  <LinksUpToDate>false</LinksUpToDate>
  <CharactersWithSpaces>5660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fgw</cp:lastModifiedBy>
  <cp:lastPrinted>2019-01-01T02:56:00Z</cp:lastPrinted>
  <dcterms:modified xsi:type="dcterms:W3CDTF">2025-08-18T11:37:33Z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