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b w:val="0"/>
          <w:bCs/>
          <w:kern w:val="0"/>
          <w:sz w:val="44"/>
          <w:szCs w:val="44"/>
        </w:rPr>
      </w:pPr>
      <w:r>
        <w:rPr>
          <w:rFonts w:eastAsia="方正小标宋_GBK"/>
          <w:b w:val="0"/>
          <w:bCs/>
          <w:kern w:val="0"/>
          <w:sz w:val="44"/>
          <w:szCs w:val="44"/>
        </w:rPr>
        <w:t>自治区财政项目支出绩效自评报告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w:t>
      </w:r>
      <w:r>
        <w:rPr>
          <w:rStyle w:val="18"/>
          <w:rFonts w:eastAsia="楷体"/>
          <w:spacing w:val="-4"/>
          <w:sz w:val="32"/>
          <w:szCs w:val="32"/>
        </w:rPr>
        <w:t>2024</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540" w:lineRule="exact"/>
        <w:rPr>
          <w:rFonts w:eastAsia="仿宋_GB2312"/>
          <w:kern w:val="0"/>
          <w:sz w:val="30"/>
          <w:szCs w:val="30"/>
        </w:rPr>
      </w:pPr>
    </w:p>
    <w:p>
      <w:pPr>
        <w:spacing w:line="700" w:lineRule="exact"/>
        <w:ind w:firstLine="560" w:firstLineChars="200"/>
        <w:jc w:val="left"/>
        <w:rPr>
          <w:rFonts w:eastAsia="仿宋_GB2312"/>
          <w:b/>
          <w:kern w:val="0"/>
          <w:sz w:val="28"/>
          <w:szCs w:val="28"/>
        </w:rPr>
      </w:pPr>
      <w:r>
        <w:rPr>
          <w:rFonts w:eastAsia="仿宋_GB2312"/>
          <w:kern w:val="0"/>
          <w:sz w:val="28"/>
          <w:szCs w:val="28"/>
        </w:rPr>
        <w:t>项目名称：</w:t>
      </w:r>
      <w:r>
        <w:rPr>
          <w:rStyle w:val="18"/>
          <w:rFonts w:eastAsia="仿宋_GB2312"/>
          <w:b w:val="0"/>
          <w:spacing w:val="-4"/>
          <w:sz w:val="28"/>
          <w:szCs w:val="28"/>
        </w:rPr>
        <w:t>新疆扶贫开发公司易地扶贫搬迁工作2024年日常运转经费</w:t>
      </w:r>
    </w:p>
    <w:p>
      <w:pPr>
        <w:spacing w:line="540" w:lineRule="exact"/>
        <w:ind w:firstLine="560" w:firstLineChars="200"/>
        <w:rPr>
          <w:rFonts w:eastAsia="仿宋_GB2312"/>
          <w:b/>
          <w:bCs/>
          <w:spacing w:val="-4"/>
          <w:sz w:val="28"/>
          <w:szCs w:val="28"/>
        </w:rPr>
      </w:pPr>
      <w:r>
        <w:rPr>
          <w:rFonts w:eastAsia="仿宋_GB2312"/>
          <w:kern w:val="0"/>
          <w:sz w:val="28"/>
          <w:szCs w:val="28"/>
        </w:rPr>
        <w:t>实施单位：</w:t>
      </w:r>
      <w:r>
        <w:rPr>
          <w:rStyle w:val="18"/>
          <w:rFonts w:eastAsia="仿宋_GB2312"/>
          <w:b w:val="0"/>
          <w:spacing w:val="-4"/>
          <w:sz w:val="28"/>
          <w:szCs w:val="28"/>
        </w:rPr>
        <w:t>新疆维吾尔自治区发展和改革委员会</w:t>
      </w:r>
    </w:p>
    <w:p>
      <w:pPr>
        <w:spacing w:line="540" w:lineRule="exact"/>
        <w:ind w:firstLine="560" w:firstLineChars="200"/>
        <w:rPr>
          <w:rFonts w:eastAsia="仿宋_GB2312"/>
          <w:b/>
          <w:bCs/>
          <w:spacing w:val="-4"/>
          <w:sz w:val="28"/>
          <w:szCs w:val="28"/>
        </w:rPr>
      </w:pPr>
      <w:r>
        <w:rPr>
          <w:rFonts w:eastAsia="仿宋_GB2312"/>
          <w:kern w:val="0"/>
          <w:sz w:val="28"/>
          <w:szCs w:val="28"/>
        </w:rPr>
        <w:t>主管部门：</w:t>
      </w:r>
      <w:r>
        <w:rPr>
          <w:rStyle w:val="18"/>
          <w:rFonts w:eastAsia="仿宋_GB2312"/>
          <w:b w:val="0"/>
          <w:spacing w:val="-4"/>
          <w:sz w:val="28"/>
          <w:szCs w:val="28"/>
        </w:rPr>
        <w:t>新疆维吾尔自治区发展和改革委员会</w:t>
      </w:r>
    </w:p>
    <w:p>
      <w:pPr>
        <w:spacing w:line="540" w:lineRule="exact"/>
        <w:ind w:firstLine="560" w:firstLineChars="200"/>
        <w:rPr>
          <w:rFonts w:eastAsia="仿宋_GB2312"/>
          <w:b/>
          <w:bCs/>
          <w:spacing w:val="-4"/>
          <w:sz w:val="28"/>
          <w:szCs w:val="28"/>
        </w:rPr>
      </w:pPr>
      <w:r>
        <w:rPr>
          <w:rFonts w:eastAsia="仿宋_GB2312"/>
          <w:kern w:val="0"/>
          <w:sz w:val="28"/>
          <w:szCs w:val="28"/>
        </w:rPr>
        <w:t>项目负责人：</w:t>
      </w:r>
      <w:r>
        <w:rPr>
          <w:rStyle w:val="18"/>
          <w:rFonts w:eastAsia="仿宋_GB2312"/>
          <w:b w:val="0"/>
          <w:spacing w:val="-4"/>
          <w:sz w:val="28"/>
          <w:szCs w:val="28"/>
        </w:rPr>
        <w:t>陈伟东</w:t>
      </w:r>
    </w:p>
    <w:p>
      <w:pPr>
        <w:spacing w:line="540" w:lineRule="exact"/>
        <w:ind w:firstLine="560" w:firstLineChars="200"/>
        <w:rPr>
          <w:rStyle w:val="18"/>
          <w:rFonts w:eastAsia="仿宋_GB2312"/>
          <w:b w:val="0"/>
          <w:spacing w:val="-4"/>
          <w:sz w:val="28"/>
          <w:szCs w:val="28"/>
        </w:rPr>
      </w:pPr>
      <w:r>
        <w:rPr>
          <w:rFonts w:eastAsia="仿宋_GB2312"/>
          <w:kern w:val="0"/>
          <w:sz w:val="28"/>
          <w:szCs w:val="28"/>
        </w:rPr>
        <w:t>填报时间：</w:t>
      </w:r>
      <w:r>
        <w:rPr>
          <w:rStyle w:val="18"/>
          <w:rFonts w:eastAsia="仿宋_GB2312"/>
          <w:b w:val="0"/>
          <w:spacing w:val="-4"/>
          <w:sz w:val="28"/>
          <w:szCs w:val="28"/>
        </w:rPr>
        <w:t>2025年03月10日</w:t>
      </w:r>
    </w:p>
    <w:p>
      <w:pPr>
        <w:spacing w:line="540" w:lineRule="exact"/>
        <w:ind w:firstLine="640"/>
        <w:rPr>
          <w:rStyle w:val="18"/>
          <w:rFonts w:eastAsia="黑体"/>
          <w:b w:val="0"/>
          <w:spacing w:val="-4"/>
          <w:sz w:val="32"/>
          <w:szCs w:val="32"/>
        </w:rPr>
      </w:pPr>
    </w:p>
    <w:p>
      <w:pPr>
        <w:spacing w:line="540" w:lineRule="exact"/>
        <w:ind w:firstLine="640"/>
        <w:rPr>
          <w:rStyle w:val="18"/>
          <w:rFonts w:eastAsia="黑体"/>
          <w:b w:val="0"/>
          <w:spacing w:val="-4"/>
          <w:sz w:val="32"/>
          <w:szCs w:val="32"/>
        </w:rPr>
        <w:sectPr>
          <w:pgSz w:w="11906" w:h="16838"/>
          <w:pgMar w:top="2098" w:right="1531" w:bottom="1928" w:left="1531" w:header="851" w:footer="992" w:gutter="0"/>
          <w:pgNumType w:fmt="numberInDash"/>
          <w:cols w:space="425" w:num="1"/>
          <w:docGrid w:type="lines" w:linePitch="312" w:charSpace="0"/>
        </w:sectPr>
      </w:pPr>
    </w:p>
    <w:p>
      <w:pPr>
        <w:spacing w:line="540" w:lineRule="exact"/>
        <w:ind w:firstLine="640"/>
        <w:rPr>
          <w:rStyle w:val="18"/>
          <w:rFonts w:eastAsia="黑体"/>
          <w:b w:val="0"/>
          <w:spacing w:val="-4"/>
          <w:sz w:val="32"/>
          <w:szCs w:val="32"/>
        </w:rPr>
      </w:pPr>
      <w:r>
        <w:rPr>
          <w:rStyle w:val="18"/>
          <w:rFonts w:eastAsia="黑体"/>
          <w:b w:val="0"/>
          <w:spacing w:val="-4"/>
          <w:sz w:val="32"/>
          <w:szCs w:val="32"/>
        </w:rPr>
        <w:t>一、基本情况</w:t>
      </w:r>
    </w:p>
    <w:p>
      <w:pPr>
        <w:spacing w:line="580" w:lineRule="exact"/>
        <w:ind w:firstLine="567"/>
        <w:rPr>
          <w:rStyle w:val="18"/>
          <w:rFonts w:eastAsia="楷体_GB2312"/>
          <w:b w:val="0"/>
          <w:spacing w:val="-4"/>
          <w:sz w:val="32"/>
          <w:szCs w:val="32"/>
        </w:rPr>
      </w:pPr>
      <w:r>
        <w:rPr>
          <w:rStyle w:val="18"/>
          <w:rFonts w:eastAsia="楷体_GB2312"/>
          <w:b w:val="0"/>
          <w:spacing w:val="-4"/>
          <w:sz w:val="32"/>
          <w:szCs w:val="32"/>
        </w:rPr>
        <w:t>（一）项目概况</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1.项目背景</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在全面推进小康社会的背景下，易地扶贫搬迁主要是针对生活在“一方水土养不好一方人”地区贫困人口实施的一项专项扶贫工程，目的是通过“挪穷窝”“换穷业”，实现“拔穷根”，从根本上解决搬迁群众的脱贫发展问题。按照自治区人民政府《关于同意建立自治区易地扶贫搬迁投融资平台的批复》（新政函[2016]65 号）文件精神，研究决定将新疆国有资产投资经营公司作为易地扶贫搬迁投融资平台，成立全资子公司，负责自治区易地扶贫搬迁业务。由自治区发展改革委代表自治区人民政府与新疆扶贫开发投资有限责任公司签订了协议，负责完成了“十三五”时期易地扶贫搬迁建设任务，全区40146户16.94万人实施易地扶贫搬迁，与全国同步实现脱贫，进入全面小康。</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2.主要内容及实施情况</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主要内容：全面贯彻落实自治区易地扶贫搬迁工作部署，确保易地扶贫搬迁后续工作的顺利实施，通过政府购买服务认真做好全疆30个县市低息贷款本金及财政贴息资金申请工作，确保按期、足额偿还银行贷款本金和利息。建立资金台账，做到账面清晰，确保“专户管理，专款专用”。把易地扶贫搬迁作为打赢脱贫攻坚战的重要举措，统筹处理好搬迁安置与后续发展、稳定脱贫的关系，让搬迁农牧民发展有基础、增收有保障、致富有路子，实现了“搬得出、稳得住、有事做、能致富”的目标。</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实施情况：主要承担自治区易地扶贫搬迁工程投融资业务；承接地方政府债券、贷款贴息资金、政府统筹整合的各类资金；负责与地州（市）签订借款协议书，并按自治区发改委下达项目认定函、自治区财政厅审核批准的资金预算并及时拨付扶贫项目资金；按时催收、归集并偿还项目贷款本息。本项目支出资金50万元，完成率100%，全面贯彻落实自治区易地扶贫搬迁工作部署，确保易地扶贫搬迁后续工作的顺利实施，认真做好低息贷款本金及财政贴息资金申请工作，全年完成全疆30个县市1次归还本金工作共计1.21亿元，4次归还利息工作共计1464.98万元。建立资金台账，做到账目清晰，确保“专户管理，专款专用。”无拖延或违约记录。由于工作突出受到发改委表彰函和银行《黄金客户》等荣誉称号。</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项目负责人为陈伟东，主要职责为全面贯彻落实自治区易地扶贫搬迁工作部署，确保易地扶贫搬迁后续工作的顺利实施，认真做好2024年度低息贷款本金12056.56万元及4个季度财政贴息资金1464.98万元申请归还工作，确保按时、足额偿还银行贷款本金和按时支付利息。建立资金台账，做到账目清晰，确保“专户管理，转款专用”。</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3.资金投入和使用情况</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根据《自治区发展改革委关于下达2024年度部门预算的通知》的精神预算安排自治区本级财政资金50万元，截至2024年12月31日，实际支出50万元，无上年结转资金和其他资金，预算执行率100%。</w:t>
      </w:r>
    </w:p>
    <w:p>
      <w:pPr>
        <w:spacing w:line="580" w:lineRule="exact"/>
        <w:ind w:firstLine="567"/>
        <w:rPr>
          <w:rStyle w:val="18"/>
          <w:rFonts w:eastAsia="仿宋_GB2312"/>
          <w:b w:val="0"/>
          <w:spacing w:val="-4"/>
          <w:sz w:val="32"/>
          <w:szCs w:val="32"/>
        </w:rPr>
      </w:pPr>
      <w:r>
        <w:rPr>
          <w:rStyle w:val="18"/>
          <w:rFonts w:eastAsia="楷体_GB2312"/>
          <w:b w:val="0"/>
          <w:spacing w:val="-4"/>
          <w:sz w:val="32"/>
          <w:szCs w:val="32"/>
        </w:rPr>
        <w:t>（二）项目绩效目标</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1.项目绩效总目标。全面贯彻落实自治区易地扶贫搬迁工作部署，确保易地扶贫搬迁后续工作的顺利实施，通过政府购买服务认真做好全疆30个县市低息贷款本金及财政贴息资金申请工作，确保按期、足额偿还银行贷款本金和利息。建立资金台账，做到账面清晰，确保“专户管理，专款专用”。</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2.阶段性目标。前期准备：项目实施前期严格熟读各项政策、相关制度及管理办法，按照部门职能、年度工作计划及实际调研情况申报项目，严格执行单位决策制度，进行项目的申报及审批，项目批复后及时成立相关工作小组，明确职责分工，制定项目实施方案及实施计划。</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组织实施：全面贯彻落实自治区易地扶贫搬迁工作部署，确保易地扶贫搬迁后续工作的顺利实施，认真做好2024年度低息贷款本金12056.56万元及4个季度财政贴息资金1464.98万元申请归还工作，确保按期、足额偿还银行本金和利息。建立资金台账，做到账目清晰，确保“专户管理，转款专用”。</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eastAsia="黑体"/>
          <w:b w:val="0"/>
          <w:spacing w:val="-4"/>
          <w:sz w:val="32"/>
          <w:szCs w:val="32"/>
        </w:rPr>
      </w:pPr>
      <w:r>
        <w:rPr>
          <w:rStyle w:val="18"/>
          <w:rFonts w:eastAsia="黑体"/>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楷体_GB2312"/>
          <w:b w:val="0"/>
          <w:spacing w:val="-4"/>
          <w:sz w:val="32"/>
          <w:szCs w:val="32"/>
        </w:rPr>
      </w:pPr>
      <w:r>
        <w:rPr>
          <w:rStyle w:val="18"/>
          <w:rFonts w:eastAsia="楷体_GB2312"/>
          <w:b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1.绩效评价目的</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eastAsia="仿宋_GB2312"/>
          <w:b w:val="0"/>
          <w:spacing w:val="-4"/>
          <w:sz w:val="32"/>
          <w:szCs w:val="32"/>
        </w:rPr>
      </w:pPr>
      <w:r>
        <w:rPr>
          <w:rStyle w:val="18"/>
          <w:rFonts w:eastAsia="仿宋_GB2312"/>
          <w:b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2.绩效评价对象</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本次绩效评价遵循财政部《项目支出绩效评价管理办法》（财预〔2020〕10号）和自治区财政厅《自治区财政支出绩效评价管理暂行办法》（新财预〔2018〕189号）等相关政策文件与规定，以新疆扶贫开发公司易地扶贫搬迁工作2024年日常运转经费项目支出为对象所对应的预算资金，以项目实施所带来的产出和效果为主要内容，以促进预算单位完成特定工作任务目标所组织开展的绩效评价。</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3.绩效评价范围</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80" w:lineRule="exact"/>
        <w:ind w:firstLine="564" w:firstLineChars="181"/>
        <w:rPr>
          <w:rStyle w:val="18"/>
          <w:rFonts w:eastAsia="楷体_GB2312"/>
          <w:b w:val="0"/>
          <w:spacing w:val="-4"/>
          <w:sz w:val="32"/>
          <w:szCs w:val="32"/>
        </w:rPr>
      </w:pPr>
      <w:r>
        <w:rPr>
          <w:rStyle w:val="18"/>
          <w:rFonts w:eastAsia="楷体_GB2312"/>
          <w:b w:val="0"/>
          <w:spacing w:val="-4"/>
          <w:sz w:val="32"/>
          <w:szCs w:val="32"/>
        </w:rPr>
        <w:t>（二）绩效评价原则、评价指标体系、评价方法、评价标准等</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1.绩效评价原则。本次绩效评价遵循的原则包括：</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2.绩效评价指标体系</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w:t>
      </w:r>
      <w:r>
        <w:rPr>
          <w:rStyle w:val="18"/>
          <w:rFonts w:eastAsia="微软雅黑"/>
          <w:b w:val="0"/>
          <w:spacing w:val="-4"/>
          <w:sz w:val="32"/>
          <w:szCs w:val="32"/>
        </w:rPr>
        <w:t>﹝</w:t>
      </w:r>
      <w:r>
        <w:rPr>
          <w:rStyle w:val="18"/>
          <w:rFonts w:eastAsia="仿宋_GB2312"/>
          <w:b w:val="0"/>
          <w:spacing w:val="-4"/>
          <w:sz w:val="32"/>
          <w:szCs w:val="32"/>
        </w:rPr>
        <w:t>2020</w:t>
      </w:r>
      <w:r>
        <w:rPr>
          <w:rStyle w:val="18"/>
          <w:rFonts w:eastAsia="微软雅黑"/>
          <w:b w:val="0"/>
          <w:spacing w:val="-4"/>
          <w:sz w:val="32"/>
          <w:szCs w:val="32"/>
        </w:rPr>
        <w:t>﹞</w:t>
      </w:r>
      <w:r>
        <w:rPr>
          <w:rStyle w:val="18"/>
          <w:rFonts w:eastAsia="仿宋_GB2312"/>
          <w:b w:val="0"/>
          <w:spacing w:val="-4"/>
          <w:sz w:val="32"/>
          <w:szCs w:val="32"/>
        </w:rPr>
        <w:t>10号）等文件精神，结合专项特点，在与专家组、项目充分协商的基础上，评价工作组细化了该项目的绩效评价指标体系：</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一级指标为：决策、过程、产出、效益。</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二级指标为：项目立项、绩效目标、资金投入、资金管理、组织实施、产出数量、产出质量、产出时效、产出成本、项目效益。</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3.绩效评价方法</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本次评价采用定量与定性评价相结合的比较法，公众评判法，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公众评判法：评价工作组采用实地调查的形式,充分了解掌握资金分配、资金管理、资金使用、制度建设、制度执行、项目实施效果等情况。采用问卷调查方式,对项目受益对象开展满意度调查,评价新疆扶贫开发公司易地扶贫搬迁工作2024年日常运转经费项目产出的效益及满意度情况。</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4.绩效评价标准</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w:t>
      </w:r>
    </w:p>
    <w:p>
      <w:pPr>
        <w:spacing w:line="580" w:lineRule="exact"/>
        <w:ind w:firstLine="564" w:firstLineChars="181"/>
        <w:rPr>
          <w:rStyle w:val="18"/>
          <w:rFonts w:eastAsia="楷体_GB2312"/>
          <w:b w:val="0"/>
          <w:spacing w:val="-4"/>
          <w:sz w:val="32"/>
          <w:szCs w:val="32"/>
        </w:rPr>
      </w:pPr>
      <w:r>
        <w:rPr>
          <w:rStyle w:val="18"/>
          <w:rFonts w:eastAsia="楷体_GB2312"/>
          <w:b w:val="0"/>
          <w:spacing w:val="-4"/>
          <w:sz w:val="32"/>
          <w:szCs w:val="32"/>
        </w:rPr>
        <w:t>（三）绩效评价工作过程</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赵世雷任评价组组长，绩效评价工作职责为负责全盘工作。贾春荣任评价组副组长，绩效评价工作职责为为对项目实施情况进行实地调查。刘明任评价组成员，绩效评价工作职责为负责资料审核等工作。</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第二阶段：组织实施。经评价组通过实地调研、查阅资料等方式，采用综合分析法对项目的决策、管理、绩效进行的综合评价分析。</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第四阶段：撰写与提交评价报告。项目撰写绩效评价报告，按照财政局大平台绩效系统中统一格式和文本框架撰写绩效评价报告。</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第五阶段：归集档案。建立和落实档案管理制度，将项目相关资料存档，包括但不限于：评价项目基本情况和相关文件、评价实施方案、项目支付资料等相关档案。</w:t>
      </w:r>
    </w:p>
    <w:p>
      <w:pPr>
        <w:spacing w:line="580" w:lineRule="exact"/>
        <w:ind w:firstLine="640"/>
        <w:rPr>
          <w:rStyle w:val="18"/>
          <w:rFonts w:eastAsia="黑体"/>
          <w:b w:val="0"/>
          <w:spacing w:val="-4"/>
          <w:sz w:val="32"/>
          <w:szCs w:val="32"/>
        </w:rPr>
      </w:pPr>
      <w:r>
        <w:rPr>
          <w:rStyle w:val="18"/>
          <w:rFonts w:eastAsia="黑体"/>
          <w:b w:val="0"/>
          <w:spacing w:val="-4"/>
          <w:sz w:val="32"/>
          <w:szCs w:val="32"/>
        </w:rPr>
        <w:t>三、综合评价情况及评价结论</w:t>
      </w:r>
    </w:p>
    <w:p>
      <w:pPr>
        <w:spacing w:line="580" w:lineRule="exact"/>
        <w:ind w:firstLine="567"/>
        <w:rPr>
          <w:rStyle w:val="18"/>
          <w:rFonts w:eastAsia="楷体_GB2312"/>
          <w:b w:val="0"/>
          <w:spacing w:val="-4"/>
          <w:sz w:val="32"/>
          <w:szCs w:val="32"/>
        </w:rPr>
      </w:pPr>
      <w:r>
        <w:rPr>
          <w:rStyle w:val="18"/>
          <w:rFonts w:eastAsia="楷体_GB2312"/>
          <w:b w:val="0"/>
          <w:spacing w:val="-4"/>
          <w:sz w:val="32"/>
          <w:szCs w:val="32"/>
        </w:rPr>
        <w:t>（一）综合评价情况</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新疆扶贫开发公司易地扶贫搬迁工作2024年日常运转经费项目总体组织规范，完成了该项目的工作目标，有效规范了项目档案资料的整理，全面完成了“十三五”时期易地扶贫搬迁建设任务，全区40146户16.94万人实施易地扶贫搬迁喜迁新居，与全国同步实现脱贫，进入全面小康。推进了易地扶贫搬迁融资业务持续健康发展，确保巩固脱贫攻坚与推动乡村振兴战略有效衔接。</w:t>
      </w:r>
      <w:r>
        <w:rPr>
          <w:rStyle w:val="18"/>
          <w:rFonts w:eastAsia="仿宋_GB2312"/>
          <w:b w:val="0"/>
          <w:spacing w:val="-4"/>
          <w:sz w:val="32"/>
          <w:szCs w:val="32"/>
        </w:rPr>
        <w:br w:type="textWrapping"/>
      </w:r>
      <w:r>
        <w:rPr>
          <w:rStyle w:val="18"/>
          <w:rFonts w:eastAsia="仿宋_GB2312"/>
          <w:b w:val="0"/>
          <w:spacing w:val="-4"/>
          <w:sz w:val="32"/>
          <w:szCs w:val="32"/>
        </w:rPr>
        <w:t>在项目决策方面，严格按照与自治区发改委签订的政府购买服务协议，项目立项依据充分，立项程序规范。</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项目管理方面，2024年本项目预算安排区本级财政资金50万元，实际支出50万元，预算执行率100%。项目资金使用合规，项目财务管理制度健全，财务监控到位，所有资金支付均按照国库集中支付制度严格执行，现有项目管理制度执行情况良好。</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项目产出方面：严格按照年初设定目标执行，及时准确完整归还银行贷款本金及利息，无任何拖欠和不良银行信用记录。</w:t>
      </w:r>
      <w:r>
        <w:rPr>
          <w:rStyle w:val="18"/>
          <w:rFonts w:eastAsia="仿宋_GB2312"/>
          <w:b w:val="0"/>
          <w:spacing w:val="-4"/>
          <w:sz w:val="32"/>
          <w:szCs w:val="32"/>
        </w:rPr>
        <w:br w:type="textWrapping"/>
      </w:r>
      <w:r>
        <w:rPr>
          <w:rStyle w:val="18"/>
          <w:rFonts w:eastAsia="仿宋_GB2312"/>
          <w:b w:val="0"/>
          <w:spacing w:val="-4"/>
          <w:sz w:val="32"/>
          <w:szCs w:val="32"/>
        </w:rPr>
        <w:t>项目效益方面：按照年初设定全面贯彻落实自治区易地扶贫搬迁工作部署，确保项目后续本息偿还工作，并达到年度指标。</w:t>
      </w:r>
    </w:p>
    <w:p>
      <w:pPr>
        <w:spacing w:line="580" w:lineRule="exact"/>
        <w:ind w:firstLine="567"/>
        <w:rPr>
          <w:rStyle w:val="18"/>
          <w:rFonts w:eastAsia="楷体_GB2312"/>
          <w:b w:val="0"/>
          <w:spacing w:val="-4"/>
          <w:sz w:val="32"/>
          <w:szCs w:val="32"/>
        </w:rPr>
      </w:pPr>
      <w:r>
        <w:rPr>
          <w:rStyle w:val="18"/>
          <w:rFonts w:eastAsia="楷体_GB2312"/>
          <w:b w:val="0"/>
          <w:spacing w:val="-4"/>
          <w:sz w:val="32"/>
          <w:szCs w:val="32"/>
        </w:rPr>
        <w:t>（二）综合评价结论</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运用项目组制定评价指标体系及财政部《项目支出绩效评价管理办法》（财预〔2020〕10号）文件中的评价指标体系及评分标准，通过数据采集、调查访谈，综合分析对新疆扶贫开发公司易地扶贫搬迁工作2024年日常运转经费项目进行客观评价，最终评分结果：总得分为100分，根据财预〔2021〕61号文的评分等级：90（含）-100分为优、80（含）-90分为良、60（含）-80分为中、60分以下为差，该项目得分等级为“优”。</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新疆扶贫开发公司易地扶贫搬迁工作2024年日常运转经费项目。绩效得分情况表：指标 项目决策 项目过程 项目产出 项目效益 合计权重 20 20 40 20 100分值 20 20 40 20 100得分率 100.00% 100.00% 100.00% 100.00% 100.00%</w:t>
      </w:r>
    </w:p>
    <w:p>
      <w:pPr>
        <w:spacing w:line="580" w:lineRule="exact"/>
        <w:ind w:firstLine="640"/>
        <w:rPr>
          <w:rStyle w:val="18"/>
          <w:rFonts w:eastAsia="黑体"/>
          <w:b w:val="0"/>
        </w:rPr>
      </w:pPr>
      <w:r>
        <w:rPr>
          <w:rStyle w:val="18"/>
          <w:rFonts w:eastAsia="黑体"/>
          <w:b w:val="0"/>
          <w:spacing w:val="-4"/>
          <w:sz w:val="32"/>
          <w:szCs w:val="32"/>
        </w:rPr>
        <w:t xml:space="preserve">四、绩效评价指标分析 </w:t>
      </w:r>
    </w:p>
    <w:p>
      <w:pPr>
        <w:spacing w:line="580" w:lineRule="exact"/>
        <w:ind w:firstLine="567"/>
        <w:rPr>
          <w:rStyle w:val="18"/>
          <w:rFonts w:eastAsia="楷体_GB2312"/>
          <w:b w:val="0"/>
          <w:spacing w:val="-4"/>
          <w:sz w:val="32"/>
          <w:szCs w:val="32"/>
        </w:rPr>
      </w:pPr>
      <w:r>
        <w:rPr>
          <w:rStyle w:val="18"/>
          <w:rFonts w:eastAsia="楷体_GB2312"/>
          <w:b w:val="0"/>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项目决策类指标包括项目立项、绩效目标和资金投入三方面的内容，由6个三级指标构成，权重分为 20 分，实际得分20分，得分率为100%。</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1.</w:t>
      </w:r>
      <w:r>
        <w:rPr>
          <w:rStyle w:val="18"/>
          <w:rFonts w:eastAsia="仿宋_GB2312"/>
          <w:b w:val="0"/>
          <w:spacing w:val="-4"/>
          <w:sz w:val="32"/>
          <w:szCs w:val="32"/>
        </w:rPr>
        <w:t>立项依据充分性：本项目根据按照自治区人民政府《关于同意建立自治区易地扶贫搬迁投融资平台的批复》（新政函[2016]65 号）文件精神，研究决定将新疆国有资产投资经营公司作为易地扶贫搬迁投融资平台，成立全资子公司，负责自治区易地扶贫搬迁业务。由自治区发展改革委代表自治区人民政府与新疆扶贫开发投资有限责任公司签订了协议立项，旨在承担自治区易地扶贫搬迁工程投融资业务；承接地方政府债券、贷款贴息资金、政府统筹整合的各类资金；负责与地州（市）签订借款协议书，并按自治区发改委下达项目认定函、自治区财政厅审核批准的资金预算并及时拨付扶贫项目资金；按时催收、归集并偿还项目贷款本息。立项依据充分，项目为延续型项目，以后年度无其他变动情况。与预期目标指标一致，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2.</w:t>
      </w:r>
      <w:r>
        <w:rPr>
          <w:rStyle w:val="18"/>
          <w:rFonts w:eastAsia="仿宋_GB2312"/>
          <w:b w:val="0"/>
          <w:spacing w:val="-4"/>
          <w:sz w:val="32"/>
          <w:szCs w:val="32"/>
        </w:rPr>
        <w:t>立项程序规范性：根据决策依据编制工作计划和经费预算，经过与部门分管领导进行沟通、筛选确定经费预算计划，上报发改委研究确定最终预算方案。与预期目标指标一致，根据评分标准，该指标不扣分，得3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3.</w:t>
      </w:r>
      <w:r>
        <w:rPr>
          <w:rStyle w:val="18"/>
          <w:rFonts w:eastAsia="仿宋_GB2312"/>
          <w:b w:val="0"/>
          <w:spacing w:val="-4"/>
          <w:sz w:val="32"/>
          <w:szCs w:val="32"/>
        </w:rPr>
        <w:t>绩效目标合理性：项目绩效目标合理，与实际工作内容密切相关；项目预期产出效益和效果符合正常的业绩水平；与预算确定的项目资金量相匹配。将项目绩效目标细化分解为具体的绩效指标；通过清晰、可衡量的指标值予以体现；与项目目标任务数相对应。根据评分标准，该指标不扣分，得3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4.</w:t>
      </w:r>
      <w:r>
        <w:rPr>
          <w:rStyle w:val="18"/>
          <w:rFonts w:eastAsia="仿宋_GB2312"/>
          <w:b w:val="0"/>
          <w:spacing w:val="-4"/>
          <w:sz w:val="32"/>
          <w:szCs w:val="32"/>
        </w:rPr>
        <w:t>绩效指标明确性将项目绩效目标细化分解为具体的绩效指标,8个三级指标，7个定量指标，量化率87.5%通过清晰、可衡量的指标值予以体现，与项目目标任务数或计划数相对应，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5.</w:t>
      </w:r>
      <w:r>
        <w:rPr>
          <w:rStyle w:val="18"/>
          <w:rFonts w:eastAsia="仿宋_GB2312"/>
          <w:b w:val="0"/>
          <w:spacing w:val="-4"/>
          <w:sz w:val="32"/>
          <w:szCs w:val="32"/>
        </w:rPr>
        <w:t>预算编制科学性： 预算编制经过科学论证，内容与项目内容匹配，项目投资额与工作任务相匹配。与预期目标指标一致，根据评分标准，该指标不扣分，得4分。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6.</w:t>
      </w:r>
      <w:r>
        <w:rPr>
          <w:rStyle w:val="18"/>
          <w:rFonts w:eastAsia="仿宋_GB2312"/>
          <w:b w:val="0"/>
          <w:spacing w:val="-4"/>
          <w:sz w:val="32"/>
          <w:szCs w:val="32"/>
        </w:rPr>
        <w:t>资金分配合理性：资金分配与实际相适应。与预期目标指标一致，根据评分标准，该指标不扣分，得3分。</w:t>
      </w:r>
    </w:p>
    <w:p>
      <w:pPr>
        <w:spacing w:line="580" w:lineRule="exact"/>
        <w:ind w:firstLine="564" w:firstLineChars="181"/>
        <w:rPr>
          <w:rFonts w:eastAsia="楷体_GB2312"/>
          <w:spacing w:val="-4"/>
          <w:sz w:val="32"/>
          <w:szCs w:val="32"/>
        </w:rPr>
      </w:pPr>
      <w:r>
        <w:rPr>
          <w:rFonts w:eastAsia="楷体_GB2312"/>
          <w:spacing w:val="-4"/>
          <w:sz w:val="32"/>
          <w:szCs w:val="32"/>
        </w:rPr>
        <w:t>（二）项目过程情况</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项目过程类指标包括资金管理和组织实施两方面的内容，由 5个三级指标构成，权重分为20分，实际得分20分，得分率为100%。</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1.资金到位率：财政资金足额拨付到位，牵头单位能够及时足额按照合同约定将专项资金拨付给联合体单位，项目预算总资金为50万元，实际到位资金50万元，资金到位率=50/50*100%=100%。根据评分标准，该指标不扣分，得4分。</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2.预算执行率：预算编制较为详细，项目资金支出总体能够按照预算执行。项目实际支付资金50万元。预算执行率=执行预算金额/到位预算金额=50/50*100%=100%。与预期目标指标一致，根据评分标准，该指标不扣分，得4分。</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3.资金使用合规性：严格按照《新疆维吾尔自治区易地扶贫搬迁信贷资金管理办法（试行）》、《新疆维吾尔自治区易地扶贫搬迁资金监督管理办法（试行）》、《易地扶贫搬迁专项建设基金监督管理暂行办法》《易地扶贫搬迁工作成效考核办法》制度和管理规定对经费使用进行规范管理，财务制度健全、执行严格。与预期目标指标一致，根据评分标准，该指标不扣分，得4分。</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4.管理制度健全性：制定了《新疆扶贫开发投资有限责任公司财务管理办法》，对财政专项资金进行严格管理，基本做到了专款专用。与预期目标指标一致，根据评分标准，该指标不扣分，得4分</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5.制度执行有效性：由部门提出经费预算支出可行性方案，经过与分管领导沟通后，报上级部门研究执行，财务对资金的使用合法合规性进行监督，年底对资金使用效果进行自评。与预期目标指标一致，根据评分标准，该指标不扣分，得4分。</w:t>
      </w:r>
    </w:p>
    <w:p>
      <w:pPr>
        <w:spacing w:line="580" w:lineRule="exact"/>
        <w:ind w:firstLine="567"/>
        <w:rPr>
          <w:rStyle w:val="18"/>
          <w:rFonts w:eastAsia="楷体_GB2312"/>
          <w:b w:val="0"/>
          <w:spacing w:val="-4"/>
          <w:sz w:val="32"/>
          <w:szCs w:val="32"/>
        </w:rPr>
      </w:pPr>
      <w:r>
        <w:rPr>
          <w:rStyle w:val="18"/>
          <w:rFonts w:eastAsia="楷体_GB2312"/>
          <w:b w:val="0"/>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项目产出类指标包括产出数量、产出质量、产出时效三方面的内容，由6个三级指标构成，权重分为40分，实际得分40分，得分率为100%。</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1.</w:t>
      </w:r>
      <w:r>
        <w:rPr>
          <w:rStyle w:val="18"/>
          <w:rFonts w:eastAsia="仿宋_GB2312"/>
          <w:b w:val="0"/>
          <w:spacing w:val="-4"/>
          <w:sz w:val="32"/>
          <w:szCs w:val="32"/>
        </w:rPr>
        <w:t>对于“产出数量”。本金还款次数，预期值为1次，实际完成1次，与预期目标一致，根据评分标准，该指标不扣分，得8分。利息归还次数，预期值为4次，实际完成4次，与预期目标一致，根据评分标准，该指标不扣分，得8分。政府购买服务数量，预期值为1次，实际完成1次，与预期目标一致，根据评分标准，该指标不扣分，得8分。合计得24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2.</w:t>
      </w:r>
      <w:r>
        <w:rPr>
          <w:rStyle w:val="18"/>
          <w:rFonts w:eastAsia="仿宋_GB2312"/>
          <w:b w:val="0"/>
          <w:spacing w:val="-4"/>
          <w:sz w:val="32"/>
          <w:szCs w:val="32"/>
        </w:rPr>
        <w:t>对于“产出质量”。本息归还逾期次数，预期值为0次，实际完成0次，与预期目标一致，根据评分标准，该指标不扣分，得4分。县市归还利息数，预期值为30个，实际完成30个，与预期目标一致，根据评分标准，该指标不扣分，得4分。合计得4分。合计得8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3.</w:t>
      </w:r>
      <w:r>
        <w:rPr>
          <w:rStyle w:val="18"/>
          <w:rFonts w:eastAsia="仿宋_GB2312"/>
          <w:b w:val="0"/>
          <w:spacing w:val="-4"/>
          <w:sz w:val="32"/>
          <w:szCs w:val="32"/>
        </w:rPr>
        <w:t>对于“产出时效”。资金支出时间，预期值为2024年12月31日，实际完成为2024年12月31日，与预期目标指标一致，根据评分标准，该指标不扣分，得8分。合计得8分。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hint="eastAsia" w:eastAsia="仿宋_GB2312"/>
          <w:b w:val="0"/>
          <w:spacing w:val="-4"/>
          <w:sz w:val="32"/>
          <w:szCs w:val="32"/>
          <w:lang w:val="en-US" w:eastAsia="zh-CN"/>
        </w:rPr>
        <w:t>4.</w:t>
      </w:r>
      <w:r>
        <w:rPr>
          <w:rStyle w:val="18"/>
          <w:rFonts w:eastAsia="仿宋_GB2312"/>
          <w:b w:val="0"/>
          <w:spacing w:val="-4"/>
          <w:sz w:val="32"/>
          <w:szCs w:val="32"/>
        </w:rPr>
        <w:t>对于“产出成本”。本项目无该指标。</w:t>
      </w:r>
    </w:p>
    <w:p>
      <w:pPr>
        <w:spacing w:line="580" w:lineRule="exact"/>
        <w:ind w:firstLine="564" w:firstLineChars="181"/>
        <w:rPr>
          <w:rFonts w:eastAsia="楷体_GB2312"/>
          <w:spacing w:val="-4"/>
          <w:sz w:val="32"/>
          <w:szCs w:val="32"/>
        </w:rPr>
      </w:pPr>
      <w:r>
        <w:rPr>
          <w:rFonts w:eastAsia="楷体_GB2312"/>
          <w:spacing w:val="-4"/>
          <w:sz w:val="32"/>
          <w:szCs w:val="32"/>
        </w:rPr>
        <w:t>（四）项目效益情况</w:t>
      </w:r>
    </w:p>
    <w:p>
      <w:pPr>
        <w:spacing w:line="580" w:lineRule="exact"/>
        <w:ind w:firstLine="567"/>
        <w:rPr>
          <w:rStyle w:val="18"/>
          <w:rFonts w:eastAsia="仿宋_GB2312"/>
          <w:b w:val="0"/>
          <w:spacing w:val="-4"/>
          <w:sz w:val="32"/>
          <w:szCs w:val="32"/>
        </w:rPr>
      </w:pPr>
      <w:r>
        <w:rPr>
          <w:rStyle w:val="18"/>
          <w:rFonts w:eastAsia="仿宋_GB2312"/>
          <w:b w:val="0"/>
          <w:spacing w:val="-4"/>
          <w:sz w:val="32"/>
          <w:szCs w:val="32"/>
        </w:rPr>
        <w:t>项目效益类指标包括社会效益、满意度两方面的内容，由2个三级指标构成，权重分为20分，实际得分20分，得分率为100%。</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1.实施效益指标。对于“社会效益指标”：全面贯彻落实自治区易地扶贫搬迁工作部署，确保项目后续本息偿还工作，与预期指标一致，根据评分标准，该指标不扣分，得10分。对于“可持续影响指标”：本项目无该指标。对于“经济效益指标”：本项目无该指标。对于“生态效益指标”：本项目无该指标。</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eastAsia="仿宋_GB2312"/>
          <w:b w:val="0"/>
          <w:spacing w:val="-4"/>
          <w:sz w:val="32"/>
          <w:szCs w:val="32"/>
        </w:rPr>
      </w:pPr>
      <w:r>
        <w:rPr>
          <w:rStyle w:val="18"/>
          <w:rFonts w:eastAsia="仿宋_GB2312"/>
          <w:b w:val="0"/>
          <w:spacing w:val="-4"/>
          <w:sz w:val="32"/>
          <w:szCs w:val="32"/>
        </w:rPr>
        <w:t>2.满意度指标:贷款行满意度，预期值为95%，实际完成95%，与预期指标一致，根据评分标准，该指标不扣分，得10分。</w:t>
      </w:r>
    </w:p>
    <w:p>
      <w:pPr>
        <w:spacing w:line="580" w:lineRule="exact"/>
        <w:ind w:firstLine="624" w:firstLineChars="200"/>
        <w:rPr>
          <w:rStyle w:val="18"/>
          <w:rFonts w:eastAsia="黑体"/>
          <w:b w:val="0"/>
          <w:spacing w:val="-4"/>
          <w:sz w:val="32"/>
          <w:szCs w:val="32"/>
        </w:rPr>
      </w:pPr>
      <w:r>
        <w:rPr>
          <w:rStyle w:val="18"/>
          <w:rFonts w:eastAsia="黑体"/>
          <w:b w:val="0"/>
          <w:spacing w:val="-4"/>
          <w:sz w:val="32"/>
          <w:szCs w:val="32"/>
        </w:rPr>
        <w:t>五、主要经验及做法、存在的问题及原因分析</w:t>
      </w:r>
    </w:p>
    <w:p>
      <w:pPr>
        <w:spacing w:line="580" w:lineRule="exact"/>
        <w:ind w:firstLine="624" w:firstLineChars="200"/>
        <w:rPr>
          <w:rStyle w:val="18"/>
          <w:rFonts w:eastAsia="楷体_GB2312"/>
          <w:b w:val="0"/>
          <w:spacing w:val="-4"/>
          <w:sz w:val="32"/>
          <w:szCs w:val="32"/>
        </w:rPr>
      </w:pPr>
      <w:r>
        <w:rPr>
          <w:rStyle w:val="18"/>
          <w:rFonts w:eastAsia="楷体_GB2312"/>
          <w:b w:val="0"/>
          <w:spacing w:val="-4"/>
          <w:sz w:val="32"/>
          <w:szCs w:val="32"/>
        </w:rPr>
        <w:t>（一）主要经验及做法</w:t>
      </w:r>
    </w:p>
    <w:p>
      <w:pPr>
        <w:spacing w:line="580" w:lineRule="exact"/>
        <w:ind w:firstLine="624" w:firstLineChars="200"/>
        <w:rPr>
          <w:rStyle w:val="18"/>
          <w:rFonts w:eastAsia="仿宋_GB2312"/>
          <w:b w:val="0"/>
          <w:spacing w:val="-4"/>
          <w:sz w:val="32"/>
          <w:szCs w:val="32"/>
        </w:rPr>
      </w:pPr>
      <w:r>
        <w:rPr>
          <w:rStyle w:val="18"/>
          <w:rFonts w:eastAsia="仿宋_GB2312"/>
          <w:b w:val="0"/>
          <w:spacing w:val="-4"/>
          <w:sz w:val="32"/>
          <w:szCs w:val="32"/>
        </w:rPr>
        <w:t>一是本项目能够严格按照《项目实施方案》执行，项目执行情况较好。二是组织领导重视，本项目绩效评价工作，从项目到资金，均能后很好的执行。三是加强沟通协调，我单位及时向领导汇报季度结息情况及一年一次归还本金情况，确保归还资金及时足额，无任何拖欠情况，保证银行良好信用等级。</w:t>
      </w:r>
    </w:p>
    <w:p>
      <w:pPr>
        <w:spacing w:line="580" w:lineRule="exact"/>
        <w:ind w:firstLine="624" w:firstLineChars="200"/>
        <w:rPr>
          <w:rStyle w:val="18"/>
          <w:rFonts w:eastAsia="楷体_GB2312"/>
          <w:b w:val="0"/>
          <w:spacing w:val="-4"/>
          <w:sz w:val="32"/>
          <w:szCs w:val="32"/>
        </w:rPr>
      </w:pPr>
      <w:r>
        <w:rPr>
          <w:rStyle w:val="18"/>
          <w:rFonts w:eastAsia="楷体_GB2312"/>
          <w:b w:val="0"/>
          <w:spacing w:val="-4"/>
          <w:sz w:val="32"/>
          <w:szCs w:val="32"/>
        </w:rPr>
        <w:t>（二）存在问题及原因分析</w:t>
      </w:r>
    </w:p>
    <w:p>
      <w:pPr>
        <w:spacing w:line="580" w:lineRule="exact"/>
        <w:ind w:firstLine="624" w:firstLineChars="200"/>
        <w:rPr>
          <w:rStyle w:val="18"/>
          <w:rFonts w:eastAsia="仿宋_GB2312"/>
          <w:b w:val="0"/>
          <w:spacing w:val="-4"/>
          <w:sz w:val="32"/>
          <w:szCs w:val="32"/>
        </w:rPr>
      </w:pPr>
      <w:r>
        <w:rPr>
          <w:rStyle w:val="18"/>
          <w:rFonts w:eastAsia="仿宋_GB2312"/>
          <w:b w:val="0"/>
          <w:spacing w:val="-4"/>
          <w:sz w:val="32"/>
          <w:szCs w:val="32"/>
        </w:rPr>
        <w:t>项目实施过程中出现经费不足问题，无法保证公司正常运转，每年经费不足部分需向母公司申请借款。</w:t>
      </w:r>
    </w:p>
    <w:p>
      <w:pPr>
        <w:spacing w:line="580" w:lineRule="exact"/>
        <w:ind w:firstLine="624" w:firstLineChars="200"/>
        <w:rPr>
          <w:rStyle w:val="18"/>
          <w:rFonts w:eastAsia="黑体"/>
          <w:b w:val="0"/>
          <w:spacing w:val="-4"/>
          <w:sz w:val="32"/>
          <w:szCs w:val="32"/>
        </w:rPr>
      </w:pPr>
      <w:r>
        <w:rPr>
          <w:rStyle w:val="18"/>
          <w:rFonts w:eastAsia="黑体"/>
          <w:b w:val="0"/>
          <w:spacing w:val="-4"/>
          <w:sz w:val="32"/>
          <w:szCs w:val="32"/>
        </w:rPr>
        <w:t>六、有关建议</w:t>
      </w:r>
    </w:p>
    <w:p>
      <w:pPr>
        <w:spacing w:line="580" w:lineRule="exact"/>
        <w:ind w:firstLine="624" w:firstLineChars="200"/>
        <w:rPr>
          <w:rStyle w:val="18"/>
          <w:rFonts w:eastAsia="仿宋_GB2312"/>
          <w:b w:val="0"/>
          <w:spacing w:val="-4"/>
          <w:sz w:val="32"/>
          <w:szCs w:val="32"/>
        </w:rPr>
      </w:pPr>
      <w:r>
        <w:rPr>
          <w:rStyle w:val="18"/>
          <w:rFonts w:eastAsia="仿宋_GB2312"/>
          <w:b w:val="0"/>
          <w:spacing w:val="-4"/>
          <w:sz w:val="32"/>
          <w:szCs w:val="32"/>
        </w:rPr>
        <w:t>项目实施过程中出现经费不足问题，无法保证公司正常运转，每年经费不足部分向其母公司申请借款，目前借款已达463.98万元，建议增加经费。</w:t>
      </w:r>
    </w:p>
    <w:p>
      <w:pPr>
        <w:spacing w:line="580" w:lineRule="exact"/>
        <w:ind w:firstLine="567"/>
        <w:rPr>
          <w:rStyle w:val="18"/>
          <w:rFonts w:eastAsia="黑体"/>
          <w:b w:val="0"/>
          <w:spacing w:val="-4"/>
          <w:sz w:val="32"/>
          <w:szCs w:val="32"/>
        </w:rPr>
      </w:pPr>
      <w:r>
        <w:rPr>
          <w:rStyle w:val="18"/>
          <w:rFonts w:eastAsia="黑体"/>
          <w:b w:val="0"/>
          <w:spacing w:val="-4"/>
          <w:sz w:val="32"/>
          <w:szCs w:val="32"/>
        </w:rPr>
        <w:t>七、其他需要说明的问题</w:t>
      </w:r>
    </w:p>
    <w:p>
      <w:pPr>
        <w:spacing w:line="580" w:lineRule="exact"/>
        <w:ind w:firstLine="624" w:firstLineChars="200"/>
        <w:rPr>
          <w:rStyle w:val="18"/>
          <w:rFonts w:eastAsia="仿宋_GB2312"/>
          <w:b w:val="0"/>
          <w:spacing w:val="-4"/>
          <w:sz w:val="32"/>
          <w:szCs w:val="32"/>
        </w:rPr>
      </w:pPr>
      <w:r>
        <w:rPr>
          <w:rStyle w:val="18"/>
          <w:rFonts w:eastAsia="仿宋_GB2312"/>
          <w:b w:val="0"/>
          <w:spacing w:val="-4"/>
          <w:sz w:val="32"/>
          <w:szCs w:val="32"/>
        </w:rPr>
        <w:t>我单位对上述项目支出绩效评价报告内反映内容的真实性、完整性负责，接受上级部门及社会公众监督。</w:t>
      </w:r>
      <w:bookmarkStart w:id="0" w:name="_GoBack"/>
      <w:bookmarkEnd w:id="0"/>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p>
      <w:pPr>
        <w:spacing w:line="580" w:lineRule="exact"/>
        <w:ind w:firstLine="567"/>
        <w:rPr>
          <w:rStyle w:val="18"/>
          <w:rFonts w:eastAsia="仿宋_GB2312"/>
          <w:b w:val="0"/>
          <w:spacing w:val="-4"/>
          <w:sz w:val="32"/>
          <w:szCs w:val="32"/>
        </w:rPr>
      </w:pPr>
    </w:p>
    <w:sectPr>
      <w:footerReference r:id="rId3" w:type="default"/>
      <w:pgSz w:w="11906" w:h="16838"/>
      <w:pgMar w:top="2098" w:right="1531" w:bottom="1928"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1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1A96"/>
    <w:rsid w:val="0014601B"/>
    <w:rsid w:val="00146AAD"/>
    <w:rsid w:val="00150F05"/>
    <w:rsid w:val="001B3A40"/>
    <w:rsid w:val="00273CCD"/>
    <w:rsid w:val="00291BC0"/>
    <w:rsid w:val="00311DBE"/>
    <w:rsid w:val="00345DD7"/>
    <w:rsid w:val="00351EFF"/>
    <w:rsid w:val="003A4F84"/>
    <w:rsid w:val="003B0577"/>
    <w:rsid w:val="003E7E58"/>
    <w:rsid w:val="003F5180"/>
    <w:rsid w:val="00414C3A"/>
    <w:rsid w:val="00435A2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05612"/>
    <w:rsid w:val="00A26421"/>
    <w:rsid w:val="00A34588"/>
    <w:rsid w:val="00A413B8"/>
    <w:rsid w:val="00A4293B"/>
    <w:rsid w:val="00A67D50"/>
    <w:rsid w:val="00A835B5"/>
    <w:rsid w:val="00A8691A"/>
    <w:rsid w:val="00A972DF"/>
    <w:rsid w:val="00AC1946"/>
    <w:rsid w:val="00AC3A96"/>
    <w:rsid w:val="00AD5E52"/>
    <w:rsid w:val="00AE3F2C"/>
    <w:rsid w:val="00AF683C"/>
    <w:rsid w:val="00B2343E"/>
    <w:rsid w:val="00B40063"/>
    <w:rsid w:val="00B41F61"/>
    <w:rsid w:val="00B74D04"/>
    <w:rsid w:val="00B85A20"/>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27594"/>
    <w:rsid w:val="00F32FEE"/>
    <w:rsid w:val="00FB10BB"/>
    <w:rsid w:val="0CB44F22"/>
    <w:rsid w:val="4C3D1751"/>
    <w:rsid w:val="4D2606A1"/>
    <w:rsid w:val="75EA512D"/>
    <w:rsid w:val="791BAD2F"/>
    <w:rsid w:val="F7F4D46F"/>
    <w:rsid w:val="FDEB2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1108</Words>
  <Characters>6318</Characters>
  <Lines>52</Lines>
  <Paragraphs>14</Paragraphs>
  <TotalTime>6</TotalTime>
  <ScaleCrop>false</ScaleCrop>
  <LinksUpToDate>false</LinksUpToDate>
  <CharactersWithSpaces>7412</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fgw</cp:lastModifiedBy>
  <cp:lastPrinted>2019-01-01T02:56:00Z</cp:lastPrinted>
  <dcterms:modified xsi:type="dcterms:W3CDTF">2025-08-18T12:10:39Z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