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自治区财政项目支出绩效自评报告</w:t>
      </w: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2024</w:t>
      </w:r>
      <w:r>
        <w:rPr>
          <w:rFonts w:hint="default" w:ascii="Times New Roman" w:hAnsi="Times New Roman" w:eastAsia="仿宋_GB2312" w:cs="Times New Roman"/>
          <w:kern w:val="0"/>
          <w:sz w:val="36"/>
          <w:szCs w:val="36"/>
        </w:rPr>
        <w:t>年度）</w:t>
      </w: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方正小标宋_GBK" w:cs="Times New Roman"/>
          <w:kern w:val="0"/>
          <w:sz w:val="36"/>
          <w:szCs w:val="36"/>
        </w:rPr>
      </w:pPr>
    </w:p>
    <w:p>
      <w:pPr>
        <w:spacing w:line="580" w:lineRule="exact"/>
        <w:jc w:val="center"/>
        <w:rPr>
          <w:rFonts w:hint="default" w:ascii="Times New Roman" w:hAnsi="Times New Roman" w:eastAsia="方正小标宋_GBK" w:cs="Times New Roman"/>
          <w:kern w:val="0"/>
          <w:sz w:val="36"/>
          <w:szCs w:val="36"/>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rPr>
          <w:rFonts w:hint="default" w:ascii="Times New Roman" w:hAnsi="Times New Roman" w:eastAsia="仿宋_GB2312" w:cs="Times New Roman"/>
          <w:kern w:val="0"/>
          <w:sz w:val="30"/>
          <w:szCs w:val="30"/>
        </w:rPr>
      </w:pPr>
    </w:p>
    <w:p>
      <w:pPr>
        <w:spacing w:line="580" w:lineRule="exact"/>
        <w:ind w:firstLine="640" w:firstLineChars="200"/>
        <w:jc w:val="left"/>
        <w:rPr>
          <w:rFonts w:hint="default" w:ascii="Times New Roman" w:hAnsi="Times New Roman" w:eastAsia="仿宋_GB2312" w:cs="Times New Roman"/>
          <w:b/>
          <w:kern w:val="0"/>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项目名称：</w:t>
      </w:r>
      <w:r>
        <w:rPr>
          <w:rStyle w:val="18"/>
          <w:rFonts w:hint="default" w:ascii="Times New Roman" w:hAnsi="Times New Roman" w:eastAsia="仿宋_GB2312" w:cs="Times New Roman"/>
          <w:b w:val="0"/>
          <w:spacing w:val="-4"/>
          <w:sz w:val="32"/>
          <w:szCs w:val="32"/>
        </w:rPr>
        <w:t>巡察经费</w:t>
      </w:r>
    </w:p>
    <w:p>
      <w:pPr>
        <w:spacing w:line="580" w:lineRule="exact"/>
        <w:ind w:firstLine="640" w:firstLineChars="200"/>
        <w:rPr>
          <w:rFonts w:hint="default" w:ascii="Times New Roman" w:hAnsi="Times New Roman" w:eastAsia="仿宋_GB2312" w:cs="Times New Roman"/>
          <w:b/>
          <w:bCs/>
          <w:spacing w:val="-4"/>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实施单位：</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ind w:firstLine="640" w:firstLineChars="200"/>
        <w:rPr>
          <w:rFonts w:hint="default" w:ascii="Times New Roman" w:hAnsi="Times New Roman" w:eastAsia="仿宋_GB2312" w:cs="Times New Roman"/>
          <w:b/>
          <w:bCs/>
          <w:spacing w:val="-4"/>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主管部门：</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ind w:firstLine="640" w:firstLineChars="200"/>
        <w:rPr>
          <w:rFonts w:hint="default" w:ascii="Times New Roman" w:hAnsi="Times New Roman" w:eastAsia="仿宋_GB2312" w:cs="Times New Roman"/>
          <w:b/>
          <w:bCs/>
          <w:spacing w:val="-4"/>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项目负责人：</w:t>
      </w:r>
      <w:r>
        <w:rPr>
          <w:rStyle w:val="18"/>
          <w:rFonts w:hint="default" w:ascii="Times New Roman" w:hAnsi="Times New Roman" w:eastAsia="仿宋_GB2312" w:cs="Times New Roman"/>
          <w:b w:val="0"/>
          <w:spacing w:val="-4"/>
          <w:sz w:val="32"/>
          <w:szCs w:val="32"/>
        </w:rPr>
        <w:t>刘君臣</w:t>
      </w:r>
    </w:p>
    <w:p>
      <w:pPr>
        <w:spacing w:line="580" w:lineRule="exact"/>
        <w:ind w:firstLine="640" w:firstLineChars="200"/>
        <w:rPr>
          <w:rStyle w:val="18"/>
          <w:rFonts w:hint="default" w:ascii="Times New Roman" w:hAnsi="Times New Roman" w:eastAsia="仿宋_GB2312" w:cs="Times New Roman"/>
          <w:b w:val="0"/>
          <w:spacing w:val="-4"/>
          <w:sz w:val="32"/>
          <w:szCs w:val="32"/>
        </w:rPr>
      </w:pPr>
      <w:r>
        <w:rPr>
          <w:rFonts w:hint="eastAsia"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填报时间：</w:t>
      </w:r>
      <w:r>
        <w:rPr>
          <w:rStyle w:val="18"/>
          <w:rFonts w:hint="default" w:ascii="Times New Roman" w:hAnsi="Times New Roman" w:eastAsia="仿宋_GB2312" w:cs="Times New Roman"/>
          <w:b w:val="0"/>
          <w:spacing w:val="-4"/>
          <w:sz w:val="32"/>
          <w:szCs w:val="32"/>
        </w:rPr>
        <w:t>2025年03月10日</w:t>
      </w:r>
    </w:p>
    <w:p>
      <w:pPr>
        <w:spacing w:line="580" w:lineRule="exact"/>
        <w:ind w:firstLine="640"/>
        <w:rPr>
          <w:rStyle w:val="18"/>
          <w:rFonts w:hint="default" w:ascii="Times New Roman" w:hAnsi="Times New Roman" w:eastAsia="黑体" w:cs="Times New Roman"/>
          <w:b w:val="0"/>
          <w:spacing w:val="-4"/>
          <w:sz w:val="32"/>
          <w:szCs w:val="32"/>
        </w:rPr>
      </w:pPr>
    </w:p>
    <w:p>
      <w:pPr>
        <w:spacing w:line="580" w:lineRule="exact"/>
        <w:ind w:firstLine="640"/>
        <w:rPr>
          <w:rStyle w:val="18"/>
          <w:rFonts w:hint="default" w:ascii="Times New Roman" w:hAnsi="Times New Roman" w:eastAsia="黑体" w:cs="Times New Roman"/>
          <w:b w:val="0"/>
          <w:spacing w:val="-4"/>
          <w:sz w:val="32"/>
          <w:szCs w:val="32"/>
        </w:rPr>
        <w:sectPr>
          <w:footerReference r:id="rId3" w:type="default"/>
          <w:pgSz w:w="11906" w:h="16838"/>
          <w:pgMar w:top="2098" w:right="1531" w:bottom="1928" w:left="1531"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项目遵循财政部《项目支出绩效评价管理办法》（财预〔2020〕10号）和自治区财政厅《自治区财政支出绩效评价管理暂行办法》（新财预〔2018〕189号）等相关政策文件与规定，根据《中国共产党巡视工作条例》《自治区党委巡视工作规划（2022-2026）（试行）》《自治区党委办公厅印发〈关于自治区直属机关及企事业单位党组（党委）开展巡察工作的指导意见（试行）〉的通知》（新党办发〔2021〕16号）等相关政策文件精神，为强化法治思维，聚焦重点方面，查找政治偏差，形成工作合力，聚力破解难题，健全监督体系，把制度优势更好转化为治理效能，有效为自治区发展改革工作健康发展提供坚强保障。按照《自治区发展改革委巡察工作五年规划（2021年10月—2026年10月）（试行）》（新发改党组〔2022〕39号）工作部署安排，结合工作实际，开展委党组2024年内部巡察工作，推动全面从严治党向纵深发展。主要内容：制定2024年巡察工作计划，根据自治区发展改革委党组工作部署和巡察工作领导小组安排，2024年对1个委属二级局能源安全监测中心、1个直属事业单位宣传教育中心（干部培训中心）党组织开展常规巡察，坚持问题导向，突出政治巡察，围绕“四个聚焦”，对照被巡察单位主责主业，对被巡察单位党组织近3年工作进行全面政治体检。按照新时代党的建设总要求，紧盯被巡察党组织职能职责、紧盯全面从严治党阶段性主要矛盾、紧盯领导班子和关键少数、紧盯干部职工群众反映强烈的突出问题，加强政治监督，查找政治偏差，推动解决突出问题。</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实施情况：按照工作计划，2024年共完成自治区能源安全监测中心、干部培训中心2个单位党组织的常规巡察。经过巡察组、巡察办会商和党组会议研究，向2024年巡察的2个单位党组织自治区能源安全监测中心党委、干部培训中心党支部分别反馈4个方面10项26条具体问题、3个方面10项22条具体问题。对重点人重点事重点问题和巡察中发现的问题旗帜鲜明提出意见，坚决推进整改。项目阶段性目标、总目标均按计划完成。该项目实施主体为巡察工作领导小组办公室（简称巡察办），巡察办是自治区发展改革委党组巡察工作领导小组的日常办事机构，作为自治区发展改革委党组工作部门与机关党委（机关纪委）合署办公，主要职能为：负责统筹协调、指导督导、服务保障巡察工作，向巡察领导小组负责并报告工作。巡察工作领导小组办公室共8人。预算安排资金5万元，截至2024年12月30日，实际支出5万元，预算执行率100%。</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绩效总目标：根据自治区党委关于巡视巡察的部署要求，按照自治区发展发展改革委党组巡察工作部署安排，结合工作实际，开展委党组2024年内部巡察工作，推动全面从严治党向纵深发展。阶段性目标：前期准备：1-4月为前期准备阶段，该阶段确定本年度巡察对象、巡察方案、巡察组人员配置、巡察需要发现和解决的问题。</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实施阶段：5-10月为实施阶段，该阶段按照计划进驻被巡察单位，组织开展常规巡察工作，向委党组汇报巡察总体情况，向被巡察单位反馈巡察发现的问题并督促整改，整理巡察档案，做好档案归档工作。</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验收阶段：10-12月为验收阶段，持续整理归集巡察档案，形成系统性档案，顺利通过本年度绩效考核，持续开展巡察“回头看”工作，做好巡察后半篇文章。</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1.绩效评价目的</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财政部《项目支出绩效评价管理办法》（财预〔2020〕10号）等相关政策文件与规定，旨在评价财政项目实施前期、过程及效果，评价财政预算资金使用的效率及效益。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2.绩效评价对象</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财政部《项目支出绩效评价管理办法》（财预〔2020〕10号）等相关政策文件与规定，以巡察经费项目支出为对象所对应的预算资金，以项目实施所带来的产出和效果为主要内容，以促进预算单位完成特定工作任务目标所组织开展的绩效评价。</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2.绩效评价指标体系</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2020</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10号）等文件精神，结合专项特点，在与专家组、项目充分协商的基础上，评价工作组细化了该项目的绩效评价指标体系：</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3.绩效评价方法</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评价采用定量与定性评价相结合的比较法，公众评判法，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4.绩效评价标准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陈胜辉任评价组组长，绩效评价工作职责为负责全盘工作。刘君臣任评价组副组长，绩效评价工作职责为对项目实施情况进行实地调查。徐芳平任评价组成员，绩效评价工作职责为负责资料审核等工作。</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第二阶段：组织实施。经评价组通过实地调研、查阅资料等方式，采用综合分析法对项目的决策、管理、绩效进行的综合评价分析。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第四阶段：撰写与提交评价报告。项目撰写绩效评价报告，按照财政厅大平台绩效系统中统一格式和文本框架撰写绩效评价报告。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第五阶段：归集档案。建立和落实档案管理制度，将项目相关资料存档，包括但不限于：评价项目基本情况和相关文件、评价实施方案、项目支付资料等相关档案。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巡查经费项目总体组织规范，完成了巡查经费项目的工作目标，有效规范了项目档案资料的整理，推动全面从严治党向纵深发展。</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在项目决策方面，巡察经费项目立项依据充分，立项程序规范；在项目管理方面，2024年本项目预算安排5万元，实际支出5万元，预算执行率100%。项目资金使用合规，项目财务管理制度健全，财务监控到位，所有资金支付均按照国库集中支付制度严格执行，现有项目管理制度执行情况良好；在项目产出方面：按照计划对1个委属二级局能源安全监测中心、1个直属事业单位宣传教育中心（干部培训中心）党组织开展常规巡察；在项目效益方面，及时发现和解决所属单位存在问题，推动全面从严治党向纵深推进。</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（二）综合评价结论</w:t>
      </w:r>
      <w:r>
        <w:rPr>
          <w:rStyle w:val="18"/>
          <w:rFonts w:hint="default" w:ascii="Times New Roman" w:hAnsi="Times New Roman" w:eastAsia="楷体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运用项目组制定评价指标体系及财政部《项目支出绩效评价管理办法》（财预〔2020〕10号）文件评分标准进行评价，该项目最终评分100分，绩效评级为“优”，具体得分情况为：项目决策20分、项目过程20分、项目产出30分、项目效益20分、满意度10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rPr>
      </w:pPr>
      <w:r>
        <w:rPr>
          <w:rStyle w:val="18"/>
          <w:rFonts w:hint="default" w:ascii="Times New Roman" w:hAnsi="Times New Roman" w:eastAsia="黑体" w:cs="Times New Roman"/>
          <w:b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项目决策类指标包括项目立项、绩效目标和资金投入三方面的内容，由6个三级指标构成，权重分为20分，实际得分20分，得分率为100%。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立项依据充分性：本项目根据自治区党委办公厅《关于自治区直属机关及企事业单位党组（党委）开展巡察工作的指导意见（试行）》（新党办发〔2021〕16号）文件精神，开展自治区发展改革委内部巡察工作。部门项目的立项依据充分，符合相关法规政策及部门职责。符合行业发展和政策要求，与部门职责范围相符，属于部门履职所需。符合中央、地方事权支出责任划分原则。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2.立项程序规范性：依据编制工作计划和经费预算，经过与分管领导进行沟通、筛选确定经费预算计划，上党委会研究确定最终预算方案，根据评分标准，该指标不扣分，得3分。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3.绩效目标合理性：绩效目标与实际工作内容具有相关性，预期产出效益和效果符合正常的业绩水平，且与预算确定的项目投资额或资金量相匹配，根据评分标准，该指标不扣分，得3分。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指标明确性：巡察经费项目将绩效目标细化分解为具体的7个三级指标，6个定量指标，量化率85.71%，通过清晰、可衡量的指标值予以体现，与项目目标任务数或计划数相对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5.预算编制科学性：预算编制经过科学论证，内容与项目内容匹配，项目投资额与工作任务相匹配，根据评分标准，该指标不扣分，得5分。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6.资金分配合理性：资金分配与实际相适应，根据评分标准，该指标不扣分，得2分。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项目过程类指标包括资金管理和组织实施两方面的内容，由5个三级指标构成，权重分为20分，实际得分20分，得分率为100%。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1.资金到位率：项目预算数为5万元，财政资金足额拨付到位5万元，到位率为100%。能够及时足额将资金预算执行到位，并做到专款专用，根据评分标准，该指标不扣分，得2分。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2.预算执行率：预算编制较为详细，项目资金支出5万元，执行率100%。根据评分标准，该指标不扣分，得5分。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3.资金使用合规性：项目资金使用符合国家财经法规和财务管理制度以及有关专项资金管理办法的规定，该指标不扣分，得5分。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管理制度健全性：巡察经费项目严格按照《新疆维吾尔自治区党委巡视工作专项经费管理办法（试行）》、《区直单位巡察工作规范化建设指导手册》及《自治区发展改革委巡察工作指导手册》开展相关工作；财务和业务管理制度合法、合规、完整。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5.制度执行有效性：项目实施过程中遵守相关法律法规和相关管理规定，资料齐全并及时归档，项目实施的人员条件、场地设备、信息支撑等有效落实。根据评分标准，该指标不扣分，得4分。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项目产出类指标包括产出数量、产出质量、产出时效、产出成本四方面的内容，由4个三级指标构成，权重分为30分，实际得分30分，得分率为100%。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1.对于“产出数量”。按照计划制定2024年巡察工作计划1次，与预期目标一致，根据评分标准，该指标不扣分，得4分。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对委属二级局、直属事业单位进行内部巡察2个，与预期目标一致，根据评分标准，该指标不扣分，得4分，此项合计得8分。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2.对于“产出质量”。高质量完成好内部巡察工作100%。与预期目标一致，根据评分标准，该指标不扣分，得8分。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3.对于“产出时效”。2024年12月30日前完成100%，与预期目标指标一致，根据评分标准，该指标不扣分，得6分。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对于“产出成本”。按照自治区发展改革委党组安排完成好2024年党组巡察工作5万元，项目经费都能控制绩效目标范围内，按照自治区发展改革委党组安排较好完成2024年党组巡察工作。根据评分标准，该指标不扣分，得8分。</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eastAsia" w:ascii="楷体_GB2312" w:hAnsi="楷体_GB2312" w:eastAsia="楷体_GB2312" w:cs="楷体_GB2312"/>
          <w:spacing w:val="-4"/>
          <w:sz w:val="32"/>
          <w:szCs w:val="32"/>
        </w:rPr>
      </w:pPr>
      <w:r>
        <w:rPr>
          <w:rFonts w:hint="eastAsia" w:ascii="楷体_GB2312" w:hAnsi="楷体_GB2312" w:eastAsia="楷体_GB2312" w:cs="楷体_GB2312"/>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项目产出类指标包括产出数量、产出质量、产出时效、产出成本四方面的内容，由4个三级指标构成，权重分为30分，实际得分30分，得分率为100%。</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1.对于“产出数量”。按照计划制定2024年巡察工作计划1次，与预期目标一致，根据评分标准，该指标不扣分，得4分。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对委属二级局、直属事业单位进行内部巡察2个，与预期目标一致，根据评分标准，该指标不扣分，得4分。此项合计得8分。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2.对于“产出质量”。高质量完成好内部巡察工作100%。与预期目标一致，根据评分标准，该指标不扣分，得8分。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3.对于“产出时效”。2024年12月30日前完成100%，与预期目标指标一致，根据评分标准，该指标不扣分，得6分。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对于“产出成本”。按照自治区发展改革委党组安排完成好2024年党组巡察工作5万元，项目经费都能控制绩效目标范围内，按照自治区发展改革委党组安排较好完成2024年党组巡察工作。根据评分标准，该指标不扣分，得8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5.对于满意度指标。巡察组作风纪律后评估满意度，预期指标值为90%，实际完成值为100%，与预期目标一致，根据评分标准，该指标不扣分,得10分。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本项目能够严格按照《项目实施方案》执行，项目执行情况较好。二是加强组织领导，本项目绩效评价工作，有主要领导亲自挂帅，分管领导具体负责，从项目到资金，均能后很好的执行。三是加强沟通协调，我单位及时汇报进度，确保按期执行完毕。</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（二）存在问题及原因分析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一是对各项指标和指标值要进一步优化、完善。二是自评价工作还存在自我审定的局限性，容易造成问题的疏漏，三是缺少带着问题去评价的意识。</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六、有关建议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1.经济成本指标进一步细化。将经济成本指标的三级指标细化至项目实施的每项费用。</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2.项目评价过程中进一步引入第三方评价机构，对部门自我审定时存在的问题进行指导，进一步破除自我审定的局限性</w:t>
      </w:r>
      <w:bookmarkStart w:id="0" w:name="_GoBack"/>
      <w:bookmarkEnd w:id="0"/>
      <w:r>
        <w:rPr>
          <w:rStyle w:val="18"/>
          <w:rFonts w:hint="default" w:ascii="Times New Roman" w:hAnsi="Times New Roman" w:eastAsia="仿宋_GB2312" w:cs="Times New Roman"/>
          <w:b w:val="0"/>
          <w:spacing w:val="-4"/>
          <w:sz w:val="32"/>
          <w:szCs w:val="32"/>
        </w:rPr>
        <w:t>，同时查漏补缺。</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3.对自评价工作进行培训，深化认识，建立以问题促思考，以思考促评价，以评价促改进的工作机制。切实做到带着问题去评价。</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七、其他需要说明的问题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无。</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spacing w:val="-4"/>
          <w:sz w:val="32"/>
          <w:szCs w:val="32"/>
        </w:rPr>
      </w:pPr>
    </w:p>
    <w:sectPr>
      <w:footerReference r:id="rId4"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4</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4</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47B4F"/>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872825"/>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0473A"/>
    <w:rsid w:val="00C56C72"/>
    <w:rsid w:val="00C62CB9"/>
    <w:rsid w:val="00CA6457"/>
    <w:rsid w:val="00CA6DC2"/>
    <w:rsid w:val="00CD37A4"/>
    <w:rsid w:val="00CE2FD9"/>
    <w:rsid w:val="00D17F2E"/>
    <w:rsid w:val="00D30354"/>
    <w:rsid w:val="00D52B7C"/>
    <w:rsid w:val="00D80C1E"/>
    <w:rsid w:val="00D96056"/>
    <w:rsid w:val="00DB1661"/>
    <w:rsid w:val="00DF42A0"/>
    <w:rsid w:val="00E30E91"/>
    <w:rsid w:val="00E769FE"/>
    <w:rsid w:val="00E774CE"/>
    <w:rsid w:val="00E96D03"/>
    <w:rsid w:val="00EA2CBE"/>
    <w:rsid w:val="00EB10A0"/>
    <w:rsid w:val="00F32FEE"/>
    <w:rsid w:val="00FB10BB"/>
    <w:rsid w:val="0CB44F22"/>
    <w:rsid w:val="4C3D1751"/>
    <w:rsid w:val="4D2606A1"/>
    <w:rsid w:val="75A92377"/>
    <w:rsid w:val="BFECF976"/>
    <w:rsid w:val="BFF5BAE4"/>
    <w:rsid w:val="CF7E06B4"/>
    <w:rsid w:val="DE3FB850"/>
    <w:rsid w:val="F6BF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967</Words>
  <Characters>5516</Characters>
  <Lines>45</Lines>
  <Paragraphs>12</Paragraphs>
  <TotalTime>0</TotalTime>
  <ScaleCrop>false</ScaleCrop>
  <LinksUpToDate>false</LinksUpToDate>
  <CharactersWithSpaces>6471</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2025-08-18T12:06:07Z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