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Times New Roman" w:hAnsi="Times New Roman" w:eastAsia="宋体" w:cs="Times New Roman"/>
          <w:sz w:val="32"/>
          <w:szCs w:val="32"/>
        </w:rPr>
      </w:pPr>
    </w:p>
    <w:p>
      <w:pPr>
        <w:spacing w:after="0" w:line="240" w:lineRule="auto"/>
        <w:rPr>
          <w:rFonts w:ascii="Times New Roman" w:hAnsi="Times New Roman" w:eastAsia="宋体" w:cs="Times New Roman"/>
          <w:sz w:val="44"/>
          <w:szCs w:val="44"/>
        </w:rPr>
      </w:pPr>
    </w:p>
    <w:p>
      <w:pPr>
        <w:spacing w:after="0" w:line="240" w:lineRule="auto"/>
        <w:rPr>
          <w:rFonts w:ascii="Times New Roman" w:hAnsi="Times New Roman" w:eastAsia="宋体" w:cs="Times New Roman"/>
          <w:sz w:val="44"/>
          <w:szCs w:val="44"/>
        </w:rPr>
      </w:pPr>
    </w:p>
    <w:p>
      <w:pPr>
        <w:spacing w:after="0" w:line="240" w:lineRule="auto"/>
        <w:rPr>
          <w:rFonts w:ascii="Times New Roman" w:hAnsi="Times New Roman" w:eastAsia="宋体" w:cs="Times New Roman"/>
          <w:sz w:val="44"/>
          <w:szCs w:val="44"/>
        </w:rPr>
      </w:pPr>
    </w:p>
    <w:p>
      <w:pPr>
        <w:spacing w:after="0" w:line="240" w:lineRule="auto"/>
        <w:jc w:val="center"/>
        <w:outlineLvl w:val="0"/>
        <w:rPr>
          <w:rFonts w:ascii="Times New Roman" w:hAnsi="Times New Roman" w:eastAsia="方正小标宋_GBK" w:cs="Times New Roman"/>
          <w:sz w:val="44"/>
          <w:szCs w:val="44"/>
          <w:lang w:eastAsia="zh-CN"/>
        </w:rPr>
      </w:pPr>
      <w:r>
        <w:rPr>
          <w:rFonts w:ascii="Times New Roman" w:hAnsi="Times New Roman" w:eastAsia="方正小标宋_GBK" w:cs="Times New Roman"/>
          <w:sz w:val="44"/>
          <w:szCs w:val="44"/>
          <w:lang w:eastAsia="zh-CN"/>
        </w:rPr>
        <w:t>新疆维吾尔自治区发展和改革委员会</w:t>
      </w:r>
      <w:r>
        <w:rPr>
          <w:rFonts w:hint="eastAsia" w:ascii="Times New Roman" w:hAnsi="Times New Roman" w:eastAsia="方正小标宋_GBK" w:cs="Times New Roman"/>
          <w:sz w:val="44"/>
          <w:szCs w:val="44"/>
          <w:lang w:eastAsia="zh-CN"/>
        </w:rPr>
        <w:t>（本级）</w:t>
      </w:r>
    </w:p>
    <w:p>
      <w:pPr>
        <w:spacing w:after="0" w:line="240" w:lineRule="auto"/>
        <w:jc w:val="center"/>
        <w:outlineLvl w:val="0"/>
        <w:rPr>
          <w:rFonts w:ascii="Times New Roman" w:hAnsi="Times New Roman" w:eastAsia="方正小标宋_GBK" w:cs="Times New Roman"/>
          <w:sz w:val="44"/>
          <w:szCs w:val="44"/>
          <w:lang w:eastAsia="zh-CN"/>
        </w:rPr>
      </w:pPr>
      <w:r>
        <w:rPr>
          <w:rFonts w:ascii="Times New Roman" w:hAnsi="Times New Roman" w:eastAsia="方正小标宋_GBK" w:cs="Times New Roman"/>
          <w:sz w:val="44"/>
          <w:szCs w:val="44"/>
          <w:lang w:eastAsia="zh-CN"/>
        </w:rPr>
        <w:t>2024年度部门决算公开说明</w:t>
      </w:r>
    </w:p>
    <w:p>
      <w:pPr>
        <w:spacing w:after="0" w:line="240" w:lineRule="auto"/>
        <w:jc w:val="center"/>
        <w:rPr>
          <w:rFonts w:ascii="Times New Roman" w:hAnsi="Times New Roman" w:eastAsia="黑体" w:cs="Times New Roman"/>
          <w:b/>
          <w:sz w:val="32"/>
          <w:szCs w:val="32"/>
          <w:lang w:eastAsia="zh-CN"/>
        </w:rPr>
        <w:sectPr>
          <w:pgSz w:w="12240" w:h="15840"/>
          <w:pgMar w:top="2098" w:right="1531" w:bottom="1984" w:left="1531" w:header="720" w:footer="720" w:gutter="0"/>
          <w:pgNumType w:fmt="numberInDash"/>
          <w:cols w:space="720" w:num="1"/>
        </w:sectPr>
      </w:pPr>
    </w:p>
    <w:p>
      <w:pPr>
        <w:spacing w:after="0" w:line="240" w:lineRule="auto"/>
        <w:jc w:val="center"/>
        <w:rPr>
          <w:rFonts w:ascii="Times New Roman" w:hAnsi="Times New Roman" w:eastAsia="黑体" w:cs="Times New Roman"/>
          <w:sz w:val="32"/>
          <w:szCs w:val="32"/>
          <w:lang w:eastAsia="zh-CN"/>
        </w:rPr>
      </w:pPr>
      <w:r>
        <w:rPr>
          <w:rFonts w:ascii="Times New Roman" w:hAnsi="Times New Roman" w:eastAsia="黑体" w:cs="Times New Roman"/>
          <w:b/>
          <w:sz w:val="32"/>
          <w:szCs w:val="32"/>
          <w:lang w:eastAsia="zh-CN"/>
        </w:rPr>
        <w:t>目录</w:t>
      </w:r>
    </w:p>
    <w:p>
      <w:pPr>
        <w:spacing w:after="0" w:line="580" w:lineRule="exact"/>
        <w:ind w:firstLine="640" w:firstLineChars="200"/>
        <w:rPr>
          <w:rFonts w:ascii="Times New Roman" w:hAnsi="Times New Roman" w:eastAsia="黑体" w:cs="Times New Roman"/>
          <w:bCs/>
          <w:sz w:val="32"/>
          <w:szCs w:val="32"/>
          <w:lang w:eastAsia="zh-CN"/>
        </w:rPr>
      </w:pPr>
      <w:r>
        <w:rPr>
          <w:rFonts w:ascii="Times New Roman" w:hAnsi="Times New Roman" w:eastAsia="黑体" w:cs="Times New Roman"/>
          <w:bCs/>
          <w:sz w:val="32"/>
          <w:szCs w:val="32"/>
          <w:lang w:eastAsia="zh-CN"/>
        </w:rPr>
        <w:t>第一部分单位概况</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一、主要职能</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二、机构设置及人员情况</w:t>
      </w:r>
    </w:p>
    <w:p>
      <w:pPr>
        <w:spacing w:after="0" w:line="580" w:lineRule="exact"/>
        <w:ind w:firstLine="640" w:firstLineChars="200"/>
        <w:rPr>
          <w:rFonts w:ascii="Times New Roman" w:hAnsi="Times New Roman" w:eastAsia="黑体" w:cs="Times New Roman"/>
          <w:bCs/>
          <w:sz w:val="32"/>
          <w:szCs w:val="32"/>
          <w:lang w:eastAsia="zh-CN"/>
        </w:rPr>
      </w:pPr>
      <w:r>
        <w:rPr>
          <w:rFonts w:ascii="Times New Roman" w:hAnsi="Times New Roman" w:eastAsia="黑体" w:cs="Times New Roman"/>
          <w:bCs/>
          <w:sz w:val="32"/>
          <w:szCs w:val="32"/>
          <w:lang w:eastAsia="zh-CN"/>
        </w:rPr>
        <w:t>第二部分部门决算情况说明</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一、收入支出决算总体情况说明</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二、收入决算情况说明</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三、支出决算情况说明</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四、财政拨款收入支出决算总体情况说明</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五、一般公共预算财政拨款支出决算情况说明</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（一）一般公共预算财政拨款支出决算总体情况</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（二）一般公共预算财政拨款支出决算结构情况</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（三）一般公共预算财政拨款支出决算具体情况</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六、一般公共预算财政拨款基本支出决算情况说明</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七、政府性基金预算财政拨款收入支出决算情况说明</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八、国有资本经营预算财政拨款收入支出决算情况说明</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九、财政拨款“三公”经费支出决算情况说明</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十、其他重要事项的情况说明</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（一）机关运行经费及公用经费支出情况</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（二）政府采购情况</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（三）国有资产占用情况说明</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十一、预算绩效的情况说明</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十二、其他需说明的事项</w:t>
      </w:r>
    </w:p>
    <w:p>
      <w:pPr>
        <w:spacing w:after="0" w:line="580" w:lineRule="exact"/>
        <w:ind w:firstLine="640" w:firstLineChars="200"/>
        <w:rPr>
          <w:rFonts w:ascii="Times New Roman" w:hAnsi="Times New Roman" w:eastAsia="黑体" w:cs="Times New Roman"/>
          <w:bCs/>
          <w:sz w:val="32"/>
          <w:szCs w:val="32"/>
          <w:lang w:eastAsia="zh-CN"/>
        </w:rPr>
      </w:pPr>
      <w:r>
        <w:rPr>
          <w:rFonts w:ascii="Times New Roman" w:hAnsi="Times New Roman" w:eastAsia="黑体" w:cs="Times New Roman"/>
          <w:bCs/>
          <w:sz w:val="32"/>
          <w:szCs w:val="32"/>
          <w:lang w:eastAsia="zh-CN"/>
        </w:rPr>
        <w:t>第三部分专业名词解释</w:t>
      </w:r>
    </w:p>
    <w:p>
      <w:pPr>
        <w:spacing w:after="0" w:line="580" w:lineRule="exact"/>
        <w:ind w:firstLine="640" w:firstLineChars="200"/>
        <w:rPr>
          <w:rFonts w:ascii="Times New Roman" w:hAnsi="Times New Roman" w:eastAsia="黑体" w:cs="Times New Roman"/>
          <w:bCs/>
          <w:sz w:val="32"/>
          <w:szCs w:val="32"/>
          <w:lang w:eastAsia="zh-CN"/>
        </w:rPr>
      </w:pPr>
      <w:r>
        <w:rPr>
          <w:rFonts w:ascii="Times New Roman" w:hAnsi="Times New Roman" w:eastAsia="黑体" w:cs="Times New Roman"/>
          <w:bCs/>
          <w:sz w:val="32"/>
          <w:szCs w:val="32"/>
          <w:lang w:eastAsia="zh-CN"/>
        </w:rPr>
        <w:t>第四部分部门决算报表（见附表）</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一、《收入支出决算总表》</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二、《收入决算表》</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三、《支出决算表》</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四、《财政拨款收入支出决算总表》</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五、《一般公共预算财政拨款支出决算表》</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六、《一般公共预算财政拨款基本支出决算表》</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七、《政府性基金预算财政拨款收入支出决算表》</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八、《国有资本经营预算财政拨款收入支出决算表》</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九、《财政拨款“三公”经费支出决算表》</w:t>
      </w:r>
    </w:p>
    <w:p>
      <w:pPr>
        <w:spacing w:line="580" w:lineRule="exact"/>
        <w:ind w:firstLine="0" w:firstLineChars="200"/>
        <w:rPr>
          <w:rFonts w:ascii="Times New Roman" w:hAnsi="Times New Roman" w:cs="Times New Roman"/>
          <w:lang w:eastAsia="zh-CN"/>
        </w:rPr>
      </w:pPr>
      <w:r>
        <w:rPr>
          <w:rFonts w:ascii="Times New Roman" w:hAnsi="Times New Roman" w:cs="Times New Roman"/>
          <w:sz w:val="0"/>
          <w:szCs w:val="0"/>
          <w:lang w:eastAsia="zh-CN"/>
        </w:rPr>
        <w:br w:type="page"/>
      </w:r>
    </w:p>
    <w:p>
      <w:pPr>
        <w:spacing w:after="0" w:line="580" w:lineRule="exact"/>
        <w:jc w:val="center"/>
        <w:outlineLvl w:val="0"/>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第一部分单位概况</w:t>
      </w:r>
    </w:p>
    <w:p>
      <w:pPr>
        <w:spacing w:after="0" w:line="58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一、主要职能</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color w:val="000000"/>
          <w:sz w:val="32"/>
          <w:szCs w:val="32"/>
          <w:lang w:eastAsia="zh-CN" w:bidi="ar"/>
        </w:rPr>
        <w:t>（一）提出自治区国民经济和社会发展战略、中长期规划和年度发展计划，贯彻执行国家的国民经济和社会发展方针、政策；统筹协调自治区经济社会发展，研究分析国内外、区内外经济形势，提出国民经济发展、价格总水平调控和优化重大经济结构的目标、政策及调控建议。牵头组织统一规划体系建设。负责自治区级发展规划、区域规划、空间规划与自治区发展规划的统筹衔接；起草国民经济和社会发展、经济体制改革和对外开放的有关法律法规草案，制定部门规章。</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color w:val="000000"/>
          <w:sz w:val="32"/>
          <w:szCs w:val="32"/>
          <w:lang w:eastAsia="zh-CN" w:bidi="ar"/>
        </w:rPr>
        <w:t xml:space="preserve">（二）提出加快建设现代化经济体系、推动高质量发展的总体目标、重大任务以及相关政策。组织开展重大战略规划、重大政策、重大工程等评估督导，提出相关调整建议。 </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color w:val="000000"/>
          <w:sz w:val="32"/>
          <w:szCs w:val="32"/>
          <w:lang w:eastAsia="zh-CN" w:bidi="ar"/>
        </w:rPr>
        <w:t>（三）统筹提出国民经济和社会发展主要目标，监测预测预警宏观经济和社会发展态势趋势，提出宏观调控政策建议。综合协调宏观经济政策，牵头研究宏观经济应对措施。调节经济运行，协调解决经济运行中的重大问题。拟订并组织实施有关价格政策；组织制定少数由政府管理的重要商品、服务价格和收费项目、标准；参与拟订财政政策、金融政策和土地政策。</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color w:val="000000"/>
          <w:sz w:val="32"/>
          <w:szCs w:val="32"/>
          <w:lang w:eastAsia="zh-CN" w:bidi="ar"/>
        </w:rPr>
        <w:t>（四）指导推进和综合协调经济体制改革有关工作，提出相关改革建议。牵头推进供给侧结构性改革。协调推进产权制度和要素市场化配置改革。落实市场准入负面清单制度。牵头推进优化营商环境工作。</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color w:val="000000"/>
          <w:sz w:val="32"/>
          <w:szCs w:val="32"/>
          <w:lang w:eastAsia="zh-CN" w:bidi="ar"/>
        </w:rPr>
        <w:t xml:space="preserve">（五）提出利用外资和境外投资的战略、规划、总量平衡和结构优化政策。牵头推进实施“一带一路”建设。承担统筹协调走出去有关工作。会同有关部门贯彻落实外商投资准入负面清单。 </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color w:val="000000"/>
          <w:sz w:val="32"/>
          <w:szCs w:val="32"/>
          <w:lang w:eastAsia="zh-CN" w:bidi="ar"/>
        </w:rPr>
        <w:t>（六）负责投资综合管理，拟订全社会固定资产投资总规模、结构调控目标和政策，会同相关部门拟订政府投资项目审批权限和政府核准的固定资产投资项目目录。申报和下达中央预算内投资计划；安排自治区财政预算内固定资产投资计划，按规定权限审批、核准、备案、审核重大项目。规划重大建设项目和生产力布局。拟订并推动落实鼓励民间投资政策措施。</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color w:val="000000"/>
          <w:sz w:val="32"/>
          <w:szCs w:val="32"/>
          <w:lang w:eastAsia="zh-CN" w:bidi="ar"/>
        </w:rPr>
        <w:t xml:space="preserve">（七）推进落实区域协调发展战略、新型城镇化战略和重大政策，组织拟订相关区域规划和政策。统筹推进实施国家重大区域发展战略。组织拟订和实施沿边及其他特殊困难地区发展规划和政策，组织实施易地扶贫搬迁等。统筹协调区域合作和对口支援工作。组织编制并推动实施新型城镇化规划。 </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color w:val="000000"/>
          <w:sz w:val="32"/>
          <w:szCs w:val="32"/>
          <w:lang w:eastAsia="zh-CN" w:bidi="ar"/>
        </w:rPr>
        <w:t xml:space="preserve">（八）组织拟订综合性产业政策。协调一二三产业发展重大问题并统筹衔接相关发展规划和重大政策。协调推进重大基础设施建设发展，组织拟订并推动实施服务业及现代物流业发展规划和相关政策。综合研判消费变动趋势，拟订实施促进消费的综合性政策措施。 </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color w:val="000000"/>
          <w:sz w:val="32"/>
          <w:szCs w:val="32"/>
          <w:lang w:eastAsia="zh-CN" w:bidi="ar"/>
        </w:rPr>
        <w:t xml:space="preserve">（九）推动实施创新驱动发展战略。会同相关部门拟订推进自治区创新创业的规划和政策，提出创新发展和培育经济发展新动能的政策。会同有关方面提出重大科技基础设施布局建议。组织拟订并推动实施高技术产业和战略性新兴产业发展规划和政策，协调产业升级、重大技术装备推广应用等方面的重大问题。 </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color w:val="000000"/>
          <w:sz w:val="32"/>
          <w:szCs w:val="32"/>
          <w:lang w:eastAsia="zh-CN" w:bidi="ar"/>
        </w:rPr>
        <w:t xml:space="preserve">（十）研判涉及经济安全、生态安全、资源安全、科技安全、社会安全等各类风险隐患，提出相关工作建议。承担经济、生态、资源等重点领域国家安全工作协调机制相关工作。负责重要商品总量平衡和宏观调控，落实重要工业品、原材料和重要农产品进出口调控政策并提出相关建议。会同有关部门执行国家储备物资品种目录、总体发展规划。 </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color w:val="000000"/>
          <w:sz w:val="32"/>
          <w:szCs w:val="32"/>
          <w:lang w:eastAsia="zh-CN" w:bidi="ar"/>
        </w:rPr>
        <w:t xml:space="preserve">（十一）负责自治区社会发展与国民经济发展的政策衔接，协调有关重大问题。组织拟订自治区社会发展战略、总体规划，统筹推进基本公共服务体系建设。提出促进就业、完善社会保障与经济协调发展的政策建议。牵头开展社会信用体系建设。 </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color w:val="000000"/>
          <w:sz w:val="32"/>
          <w:szCs w:val="32"/>
          <w:lang w:eastAsia="zh-CN" w:bidi="ar"/>
        </w:rPr>
        <w:t xml:space="preserve">（十二）推进实施可持续发展战略，推动自治区生态文明建设和改革，协调生态环境保护与修复、能源资源节约和综合利用等工作。提出健全自治区生态保护补偿机制的政策措施，综合协调环保产业和清洁生产促进有关工作。提出自治区能源消费控制目标、任务并组织实施。 </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color w:val="000000"/>
          <w:sz w:val="32"/>
          <w:szCs w:val="32"/>
          <w:lang w:eastAsia="zh-CN" w:bidi="ar"/>
        </w:rPr>
        <w:t xml:space="preserve">（十三）研究制定自治区能源发展重大战略和政策建议；组织起草自治区能源管理的地方性法规和规章草案；拟订实施自治区能源发展总体规划、专项规划和年度计划；组织实施能源体制改革；按权限审核自治区能源行业固定资产投资项目；负责自治区重大能源项目的管理和组织协调；指导电力计划调度和市场交易；开展自治区能源国际国内合作；承担自治区石油、天然气管道保护；统筹做好煤矿、电力安全监督管理。 </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color w:val="000000"/>
          <w:sz w:val="32"/>
          <w:szCs w:val="32"/>
          <w:lang w:eastAsia="zh-CN" w:bidi="ar"/>
        </w:rPr>
        <w:t xml:space="preserve">（十四）贯彻落实对口支援新疆工作部际联席会议办公室各项政策措施，做好对口援疆工作综合协调、服务保障，组织开展对口援疆规划衔接平衡。 </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color w:val="000000"/>
          <w:sz w:val="32"/>
          <w:szCs w:val="32"/>
          <w:lang w:eastAsia="zh-CN" w:bidi="ar"/>
        </w:rPr>
        <w:t xml:space="preserve">（十五）承担自治区对口援疆协调领导小组办公室、自治区社会信用体系建设联席会议办公室、自治区西部开发领导小组办公室、自治区应对气候变化及节能减排工作领导小组等相关具体工作。 </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color w:val="000000"/>
          <w:sz w:val="32"/>
          <w:szCs w:val="32"/>
          <w:lang w:eastAsia="zh-CN" w:bidi="ar"/>
        </w:rPr>
        <w:t xml:space="preserve">（十六）管理自治区粮食和物资储备局。 </w:t>
      </w:r>
    </w:p>
    <w:p>
      <w:pPr>
        <w:spacing w:after="0" w:line="580" w:lineRule="exact"/>
        <w:ind w:firstLine="640" w:firstLineChars="200"/>
        <w:rPr>
          <w:rFonts w:ascii="Times New Roman" w:hAnsi="Times New Roman" w:eastAsia="仿宋_GB2312" w:cs="Times New Roman"/>
          <w:color w:val="000000"/>
          <w:sz w:val="32"/>
          <w:szCs w:val="32"/>
          <w:lang w:eastAsia="zh-CN" w:bidi="ar"/>
        </w:rPr>
      </w:pPr>
      <w:r>
        <w:rPr>
          <w:rFonts w:ascii="Times New Roman" w:hAnsi="Times New Roman" w:eastAsia="仿宋_GB2312" w:cs="Times New Roman"/>
          <w:color w:val="000000"/>
          <w:sz w:val="32"/>
          <w:szCs w:val="32"/>
          <w:lang w:eastAsia="zh-CN" w:bidi="ar"/>
        </w:rPr>
        <w:t>（十七）完成自治区党委、人民政府交办的其他任务。</w:t>
      </w:r>
    </w:p>
    <w:p>
      <w:pPr>
        <w:spacing w:after="0" w:line="580" w:lineRule="exact"/>
        <w:ind w:firstLine="560" w:firstLineChars="200"/>
        <w:rPr>
          <w:rFonts w:ascii="Times New Roman" w:hAnsi="Times New Roman" w:eastAsia="仿宋_GB2312" w:cs="Times New Roman"/>
          <w:color w:val="000000"/>
          <w:sz w:val="28"/>
          <w:szCs w:val="28"/>
          <w:lang w:eastAsia="zh-CN" w:bidi="ar"/>
        </w:rPr>
      </w:pPr>
    </w:p>
    <w:p>
      <w:pPr>
        <w:spacing w:after="0" w:line="58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二、机构设置及人员情况</w:t>
      </w:r>
    </w:p>
    <w:p>
      <w:pPr>
        <w:spacing w:after="0" w:line="580" w:lineRule="exact"/>
        <w:ind w:firstLine="640" w:firstLineChars="200"/>
        <w:rPr>
          <w:rFonts w:ascii="Times New Roman" w:hAnsi="Times New Roman" w:eastAsia="仿宋_GB2312" w:cs="Times New Roman"/>
          <w:color w:val="000000"/>
          <w:sz w:val="32"/>
          <w:szCs w:val="32"/>
          <w:lang w:eastAsia="zh-CN" w:bidi="ar"/>
        </w:rPr>
      </w:pPr>
      <w:r>
        <w:rPr>
          <w:rFonts w:ascii="Times New Roman" w:hAnsi="Times New Roman" w:eastAsia="仿宋_GB2312" w:cs="Times New Roman"/>
          <w:color w:val="000000"/>
          <w:sz w:val="32"/>
          <w:szCs w:val="32"/>
          <w:lang w:eastAsia="zh-CN" w:bidi="ar"/>
        </w:rPr>
        <w:t>新疆维吾尔自治区发展和改革委员会2024年度，实有人数542人，其中：在职人员256人，</w:t>
      </w:r>
      <w:r>
        <w:rPr>
          <w:rFonts w:hint="eastAsia" w:ascii="Times New Roman" w:hAnsi="Times New Roman" w:eastAsia="仿宋_GB2312" w:cs="Times New Roman"/>
          <w:color w:val="000000"/>
          <w:sz w:val="32"/>
          <w:szCs w:val="32"/>
          <w:lang w:eastAsia="zh-CN" w:bidi="ar"/>
        </w:rPr>
        <w:t>较上年</w:t>
      </w:r>
      <w:r>
        <w:rPr>
          <w:rFonts w:ascii="Times New Roman" w:hAnsi="Times New Roman" w:eastAsia="仿宋_GB2312" w:cs="Times New Roman"/>
          <w:color w:val="000000"/>
          <w:sz w:val="32"/>
          <w:szCs w:val="32"/>
          <w:lang w:eastAsia="zh-CN" w:bidi="ar"/>
        </w:rPr>
        <w:t>减少5人；离休人员3人，较上年无变化；退休人员283人，</w:t>
      </w:r>
      <w:r>
        <w:rPr>
          <w:rFonts w:hint="eastAsia" w:ascii="Times New Roman" w:hAnsi="Times New Roman" w:eastAsia="仿宋_GB2312" w:cs="Times New Roman"/>
          <w:color w:val="000000"/>
          <w:sz w:val="32"/>
          <w:szCs w:val="32"/>
          <w:lang w:eastAsia="zh-CN" w:bidi="ar"/>
        </w:rPr>
        <w:t>较上年</w:t>
      </w:r>
      <w:r>
        <w:rPr>
          <w:rFonts w:ascii="Times New Roman" w:hAnsi="Times New Roman" w:eastAsia="仿宋_GB2312" w:cs="Times New Roman"/>
          <w:color w:val="000000"/>
          <w:sz w:val="32"/>
          <w:szCs w:val="32"/>
          <w:lang w:eastAsia="zh-CN" w:bidi="ar"/>
        </w:rPr>
        <w:t>增加2人。</w:t>
      </w:r>
    </w:p>
    <w:p>
      <w:pPr>
        <w:spacing w:after="0" w:line="580" w:lineRule="exact"/>
        <w:ind w:firstLine="640" w:firstLineChars="200"/>
        <w:rPr>
          <w:rFonts w:ascii="Times New Roman" w:hAnsi="Times New Roman" w:eastAsia="仿宋_GB2312" w:cs="Times New Roman"/>
          <w:color w:val="000000"/>
          <w:sz w:val="32"/>
          <w:szCs w:val="32"/>
          <w:lang w:eastAsia="zh-CN" w:bidi="ar"/>
        </w:rPr>
      </w:pPr>
      <w:r>
        <w:rPr>
          <w:rFonts w:ascii="Times New Roman" w:hAnsi="Times New Roman" w:eastAsia="仿宋_GB2312" w:cs="Times New Roman"/>
          <w:color w:val="000000"/>
          <w:sz w:val="32"/>
          <w:szCs w:val="32"/>
          <w:lang w:eastAsia="zh-CN" w:bidi="ar"/>
        </w:rPr>
        <w:t>新疆维吾尔自治区发展和改革委员会无下属预算单位，下设4</w:t>
      </w:r>
      <w:r>
        <w:rPr>
          <w:rFonts w:hint="eastAsia" w:ascii="Times New Roman" w:hAnsi="Times New Roman" w:eastAsia="仿宋_GB2312" w:cs="Times New Roman"/>
          <w:color w:val="000000"/>
          <w:sz w:val="32"/>
          <w:szCs w:val="32"/>
          <w:lang w:eastAsia="zh-CN" w:bidi="ar"/>
        </w:rPr>
        <w:t>8</w:t>
      </w:r>
      <w:r>
        <w:rPr>
          <w:rFonts w:ascii="Times New Roman" w:hAnsi="Times New Roman" w:eastAsia="仿宋_GB2312" w:cs="Times New Roman"/>
          <w:color w:val="000000"/>
          <w:sz w:val="32"/>
          <w:szCs w:val="32"/>
          <w:lang w:eastAsia="zh-CN" w:bidi="ar"/>
        </w:rPr>
        <w:t>个处室，分别是：办公室、政策研究室、发展战略和规划处、国民经济综合处、经济运行调节局、体制改革综合处、固定资产投资处、社会投融资服务处、利用外资和境外投资处、地区经济处、西部开发处、援疆工作处、“一带一路”秘书处、“一带一路”创新实验处、“一带一路”对外开放处、“一带一路”国际合作处、农村经济处、交通设施发展处、产业发展处、创新和高技术发展处、就业收入分配和消费处、资源节约和环境保护处、社会发展处、经济贸易处、财政金融和信用建设处、项目建设管理处、农产品和水资源价格处、能源价格处、服务价格处、收费管理处、价格成本监审局、法规处、评估督导处、国防动员处、民营经济发展处、人事处、财务审计处、机关党委、离退休干部处、能源局综合发展协调处、能源局政策和体制改革处、能源局煤炭处、能源局电力处、能源局石油天然气处、能源局科技装备处、能源局新能源和可再生能源处、能源局监督管理处、能源局能源合作处。</w:t>
      </w:r>
    </w:p>
    <w:p>
      <w:pPr>
        <w:spacing w:line="580" w:lineRule="exact"/>
        <w:rPr>
          <w:rFonts w:ascii="Times New Roman" w:hAnsi="Times New Roman" w:cs="Times New Roman"/>
          <w:lang w:eastAsia="zh-CN"/>
        </w:rPr>
      </w:pPr>
      <w:r>
        <w:rPr>
          <w:rFonts w:ascii="Times New Roman" w:hAnsi="Times New Roman" w:cs="Times New Roman"/>
          <w:sz w:val="0"/>
          <w:szCs w:val="0"/>
          <w:lang w:eastAsia="zh-CN"/>
        </w:rPr>
        <w:br w:type="page"/>
      </w:r>
    </w:p>
    <w:p>
      <w:pPr>
        <w:spacing w:after="0" w:line="580" w:lineRule="exact"/>
        <w:jc w:val="center"/>
        <w:outlineLvl w:val="0"/>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第二部分部门决算情况说明</w:t>
      </w:r>
    </w:p>
    <w:p>
      <w:pPr>
        <w:spacing w:after="0" w:line="58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一、收入支出决算总体情况说明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2024年度收入总计15,071.95万元，其中：本年收入合计15,067.83万元，使用非财政拨款结余（含专用结余）0.00万元，年初结转和结余4.12万元。</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2024年度支出总计15,071.95万元，其中：本年支出合计14,974.23万元，结余分配0.00万元，年末结转和结余97.72万元。</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收入支出总体与上年相比，增加213.48万元，增长1.44%，主要原因是：本年</w:t>
      </w:r>
      <w:r>
        <w:rPr>
          <w:rFonts w:hint="eastAsia" w:ascii="Times New Roman" w:hAnsi="Times New Roman" w:eastAsia="仿宋_GB2312" w:cs="Times New Roman"/>
          <w:sz w:val="32"/>
          <w:szCs w:val="32"/>
          <w:lang w:eastAsia="zh-CN"/>
        </w:rPr>
        <w:t>增加</w:t>
      </w:r>
      <w:r>
        <w:rPr>
          <w:rFonts w:ascii="Times New Roman" w:hAnsi="Times New Roman" w:eastAsia="仿宋_GB2312" w:cs="Times New Roman"/>
          <w:sz w:val="32"/>
          <w:szCs w:val="32"/>
          <w:lang w:eastAsia="zh-CN"/>
        </w:rPr>
        <w:t>自治区预算内前期费</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lang w:eastAsia="zh-CN"/>
        </w:rPr>
        <w:t>024年全社会节能减排</w:t>
      </w:r>
      <w:r>
        <w:rPr>
          <w:rFonts w:hint="eastAsia" w:ascii="Times New Roman" w:hAnsi="Times New Roman" w:eastAsia="仿宋_GB2312" w:cs="Times New Roman"/>
          <w:sz w:val="32"/>
          <w:szCs w:val="32"/>
          <w:lang w:eastAsia="zh-CN"/>
        </w:rPr>
        <w:t>专项资金</w:t>
      </w:r>
      <w:bookmarkStart w:id="0" w:name="_GoBack"/>
      <w:bookmarkEnd w:id="0"/>
      <w:r>
        <w:rPr>
          <w:rFonts w:hint="eastAsia" w:ascii="Times New Roman" w:hAnsi="Times New Roman" w:eastAsia="仿宋_GB2312" w:cs="Times New Roman"/>
          <w:sz w:val="32"/>
          <w:szCs w:val="32"/>
          <w:lang w:eastAsia="zh-CN"/>
        </w:rPr>
        <w:t>等专项经费</w:t>
      </w:r>
      <w:r>
        <w:rPr>
          <w:rFonts w:ascii="Times New Roman" w:hAnsi="Times New Roman" w:eastAsia="仿宋_GB2312" w:cs="Times New Roman"/>
          <w:sz w:val="32"/>
          <w:szCs w:val="32"/>
          <w:lang w:eastAsia="zh-CN"/>
        </w:rPr>
        <w:t>。</w:t>
      </w:r>
    </w:p>
    <w:p>
      <w:pPr>
        <w:spacing w:after="0" w:line="58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二、收入决算情况说明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本年收入15,067.83万元，其中：财政拨款收入15,066.75万元,占99.99%；上级补助收入0.00万元,占0.00%；事业收入0.00万元，占0.00%；经营收入0.00万元,占0.00%；附属单位上缴收入0.00万元，占0.00%；其他收入1.08万元，占0.01%。</w:t>
      </w:r>
    </w:p>
    <w:p>
      <w:pPr>
        <w:spacing w:after="0" w:line="58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三、支出决算情况说明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本年支出14,974.23万元，其中：基本支出7,853.69万元，占52.45%；项目支出7,120.54万元，占47.55%；上缴上级支出0.00万元，占0.00%；经营支出0.00万元，占0.00%；对附属单位补助支出0.00万元，占0.00%。</w:t>
      </w:r>
    </w:p>
    <w:p>
      <w:pPr>
        <w:spacing w:after="0" w:line="58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四、财政拨款收入支出决算总体情况说明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财政拨款收入总计15,066.75万元，其中：年初财政拨款结转和结余0.00万元，本年财政拨款收入15,066.75万元。财政拨款支出总计15,066.75万元，其中：年末财政拨款结转和结余92.52万元，本年财政拨款支出14,974.23万元。</w:t>
      </w:r>
    </w:p>
    <w:p>
      <w:pPr>
        <w:spacing w:after="0" w:line="580" w:lineRule="exact"/>
        <w:ind w:firstLine="640" w:firstLineChars="200"/>
        <w:jc w:val="both"/>
        <w:rPr>
          <w:rFonts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lang w:eastAsia="zh-CN"/>
        </w:rPr>
        <w:t>财政拨款收入支出总体与上年相比，增加212.50万元，增长1.43%，主要原因是：本年增加2024年中国品牌日活动经费，自治区预算内前期费较上年增加。与年初预算相比，年初预算数8,718.04万元，</w:t>
      </w:r>
      <w:r>
        <w:rPr>
          <w:rFonts w:ascii="Times New Roman" w:hAnsi="Times New Roman" w:eastAsia="仿宋_GB2312" w:cs="Times New Roman"/>
          <w:sz w:val="32"/>
          <w:szCs w:val="32"/>
          <w:highlight w:val="none"/>
          <w:lang w:eastAsia="zh-CN"/>
        </w:rPr>
        <w:t>决算数15,066.75万元，预决算差异率72.82%，主要原因是：年中追加2024年全社会节能减排专项资金</w:t>
      </w:r>
      <w:r>
        <w:rPr>
          <w:rFonts w:hint="eastAsia" w:ascii="Times New Roman" w:hAnsi="Times New Roman" w:eastAsia="仿宋_GB2312" w:cs="Times New Roman"/>
          <w:sz w:val="32"/>
          <w:szCs w:val="32"/>
          <w:highlight w:val="none"/>
          <w:lang w:eastAsia="zh-CN"/>
        </w:rPr>
        <w:t>、科研创新平台人才团队支持计划等项目经费</w:t>
      </w:r>
      <w:r>
        <w:rPr>
          <w:rFonts w:ascii="Times New Roman" w:hAnsi="Times New Roman" w:eastAsia="仿宋_GB2312" w:cs="Times New Roman"/>
          <w:sz w:val="32"/>
          <w:szCs w:val="32"/>
          <w:highlight w:val="none"/>
          <w:lang w:eastAsia="zh-CN"/>
        </w:rPr>
        <w:t>。</w:t>
      </w:r>
    </w:p>
    <w:p>
      <w:pPr>
        <w:spacing w:after="0" w:line="58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五、一般公共预算财政拨款支出决算情况说明</w:t>
      </w:r>
    </w:p>
    <w:p>
      <w:pPr>
        <w:spacing w:after="0" w:line="580" w:lineRule="exact"/>
        <w:ind w:firstLine="640" w:firstLineChars="200"/>
        <w:outlineLvl w:val="2"/>
        <w:rPr>
          <w:rFonts w:ascii="楷体_GB2312" w:hAnsi="楷体_GB2312" w:eastAsia="楷体_GB2312" w:cs="楷体_GB2312"/>
          <w:bCs/>
          <w:sz w:val="32"/>
          <w:szCs w:val="32"/>
          <w:lang w:eastAsia="zh-CN"/>
        </w:rPr>
      </w:pPr>
      <w:r>
        <w:rPr>
          <w:rFonts w:hint="eastAsia" w:ascii="楷体_GB2312" w:hAnsi="楷体_GB2312" w:eastAsia="楷体_GB2312" w:cs="楷体_GB2312"/>
          <w:bCs/>
          <w:sz w:val="32"/>
          <w:szCs w:val="32"/>
          <w:lang w:eastAsia="zh-CN"/>
        </w:rPr>
        <w:t>（一）一般公共预算财政拨款支出决算总体情况</w:t>
      </w:r>
    </w:p>
    <w:p>
      <w:pPr>
        <w:spacing w:after="0" w:line="580" w:lineRule="exact"/>
        <w:ind w:firstLine="640" w:firstLineChars="200"/>
        <w:jc w:val="both"/>
        <w:rPr>
          <w:rFonts w:ascii="Times New Roman" w:hAnsi="Times New Roman" w:eastAsia="仿宋_GB2312" w:cs="Times New Roman"/>
          <w:b w:val="0"/>
          <w:bCs w:val="0"/>
          <w:sz w:val="32"/>
          <w:szCs w:val="32"/>
          <w:highlight w:val="none"/>
          <w:lang w:eastAsia="zh-CN"/>
        </w:rPr>
      </w:pPr>
      <w:r>
        <w:rPr>
          <w:rFonts w:ascii="Times New Roman" w:hAnsi="Times New Roman" w:eastAsia="仿宋_GB2312" w:cs="Times New Roman"/>
          <w:sz w:val="32"/>
          <w:szCs w:val="32"/>
          <w:lang w:eastAsia="zh-CN"/>
        </w:rPr>
        <w:t>2024年度一般公共预算财政拨款支出14,974.23万元，占本年支出合计的100.00%。与上年相比，增加119.98万元，增长0.81%，主要原因是：本年增加2024年中国品牌日活动经费，自治区预算内前期费较上年增加。与年初预算相比，年初预算数8,718.04万元</w:t>
      </w:r>
      <w:r>
        <w:rPr>
          <w:rFonts w:ascii="Times New Roman" w:hAnsi="Times New Roman" w:eastAsia="仿宋_GB2312" w:cs="Times New Roman"/>
          <w:sz w:val="32"/>
          <w:szCs w:val="32"/>
          <w:highlight w:val="none"/>
          <w:lang w:eastAsia="zh-CN"/>
        </w:rPr>
        <w:t>，决算数14,974.23万元，预决算差异率71.76%，主要原因是：年中追加2024年全社会节能减排专项资金，导致预决</w:t>
      </w:r>
      <w:r>
        <w:rPr>
          <w:rFonts w:ascii="Times New Roman" w:hAnsi="Times New Roman" w:eastAsia="仿宋_GB2312" w:cs="Times New Roman"/>
          <w:b w:val="0"/>
          <w:bCs w:val="0"/>
          <w:sz w:val="32"/>
          <w:szCs w:val="32"/>
          <w:highlight w:val="none"/>
          <w:lang w:eastAsia="zh-CN"/>
        </w:rPr>
        <w:t>算存在差异。</w:t>
      </w:r>
    </w:p>
    <w:p>
      <w:pPr>
        <w:spacing w:after="0" w:line="580" w:lineRule="exact"/>
        <w:ind w:firstLine="642" w:firstLineChars="200"/>
        <w:outlineLvl w:val="2"/>
        <w:rPr>
          <w:rFonts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highlight w:val="none"/>
          <w:lang w:eastAsia="zh-CN"/>
        </w:rPr>
        <w:t>（二）一般公共预算财政拨款支出</w:t>
      </w:r>
      <w:r>
        <w:rPr>
          <w:rFonts w:hint="eastAsia" w:ascii="楷体_GB2312" w:hAnsi="楷体_GB2312" w:eastAsia="楷体_GB2312" w:cs="楷体_GB2312"/>
          <w:b/>
          <w:bCs/>
          <w:sz w:val="32"/>
          <w:szCs w:val="32"/>
          <w:lang w:eastAsia="zh-CN"/>
        </w:rPr>
        <w:t>决算结构情况</w:t>
      </w:r>
    </w:p>
    <w:p>
      <w:pPr>
        <w:spacing w:after="0" w:line="58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w:t>
      </w:r>
      <w:r>
        <w:rPr>
          <w:rFonts w:ascii="Times New Roman" w:hAnsi="Times New Roman" w:eastAsia="仿宋_GB2312" w:cs="Times New Roman"/>
          <w:sz w:val="32"/>
          <w:szCs w:val="32"/>
          <w:lang w:eastAsia="zh-CN"/>
        </w:rPr>
        <w:t>一般公共服务支出（类）11,493.81万元，占76.76%。</w:t>
      </w:r>
    </w:p>
    <w:p>
      <w:pPr>
        <w:spacing w:after="0" w:line="58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w:t>
      </w:r>
      <w:r>
        <w:rPr>
          <w:rFonts w:ascii="Times New Roman" w:hAnsi="Times New Roman" w:eastAsia="仿宋_GB2312" w:cs="Times New Roman"/>
          <w:sz w:val="32"/>
          <w:szCs w:val="32"/>
          <w:lang w:eastAsia="zh-CN"/>
        </w:rPr>
        <w:t>社会保障和就业支出（类）1,613.91万元，占10.78%。</w:t>
      </w:r>
    </w:p>
    <w:p>
      <w:pPr>
        <w:spacing w:after="0" w:line="58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3.</w:t>
      </w:r>
      <w:r>
        <w:rPr>
          <w:rFonts w:ascii="Times New Roman" w:hAnsi="Times New Roman" w:eastAsia="仿宋_GB2312" w:cs="Times New Roman"/>
          <w:sz w:val="32"/>
          <w:szCs w:val="32"/>
          <w:lang w:eastAsia="zh-CN"/>
        </w:rPr>
        <w:t>卫生健康支出（类）533.20万元，占3.56%。</w:t>
      </w:r>
    </w:p>
    <w:p>
      <w:pPr>
        <w:spacing w:after="0" w:line="58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4.</w:t>
      </w:r>
      <w:r>
        <w:rPr>
          <w:rFonts w:ascii="Times New Roman" w:hAnsi="Times New Roman" w:eastAsia="仿宋_GB2312" w:cs="Times New Roman"/>
          <w:sz w:val="32"/>
          <w:szCs w:val="32"/>
          <w:lang w:eastAsia="zh-CN"/>
        </w:rPr>
        <w:t>节能环保支出（类）891.50万元，占5.95%。</w:t>
      </w:r>
    </w:p>
    <w:p>
      <w:pPr>
        <w:spacing w:after="0" w:line="58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5.</w:t>
      </w:r>
      <w:r>
        <w:rPr>
          <w:rFonts w:ascii="Times New Roman" w:hAnsi="Times New Roman" w:eastAsia="仿宋_GB2312" w:cs="Times New Roman"/>
          <w:sz w:val="32"/>
          <w:szCs w:val="32"/>
          <w:lang w:eastAsia="zh-CN"/>
        </w:rPr>
        <w:t>住房保障支出（类）436.82万元，占2.92%。</w:t>
      </w:r>
    </w:p>
    <w:p>
      <w:pPr>
        <w:spacing w:after="0" w:line="58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6.</w:t>
      </w:r>
      <w:r>
        <w:rPr>
          <w:rFonts w:ascii="Times New Roman" w:hAnsi="Times New Roman" w:eastAsia="仿宋_GB2312" w:cs="Times New Roman"/>
          <w:sz w:val="32"/>
          <w:szCs w:val="32"/>
          <w:lang w:eastAsia="zh-CN"/>
        </w:rPr>
        <w:t>灾害防治及应急管理支出（类）5.00万元，占0.03%。</w:t>
      </w:r>
    </w:p>
    <w:p>
      <w:pPr>
        <w:spacing w:after="0" w:line="580" w:lineRule="exact"/>
        <w:ind w:firstLine="640" w:firstLineChars="200"/>
        <w:outlineLvl w:val="2"/>
        <w:rPr>
          <w:rFonts w:ascii="楷体_GB2312" w:hAnsi="楷体_GB2312" w:eastAsia="楷体_GB2312" w:cs="楷体_GB2312"/>
          <w:bCs/>
          <w:sz w:val="32"/>
          <w:szCs w:val="32"/>
          <w:lang w:eastAsia="zh-CN"/>
        </w:rPr>
      </w:pPr>
      <w:r>
        <w:rPr>
          <w:rFonts w:hint="eastAsia" w:ascii="楷体_GB2312" w:hAnsi="楷体_GB2312" w:eastAsia="楷体_GB2312" w:cs="楷体_GB2312"/>
          <w:bCs/>
          <w:sz w:val="32"/>
          <w:szCs w:val="32"/>
          <w:lang w:eastAsia="zh-CN"/>
        </w:rPr>
        <w:t>（三）一般公共预算财政拨款支出决算具体情况</w:t>
      </w:r>
    </w:p>
    <w:p>
      <w:pPr>
        <w:numPr>
          <w:ilvl w:val="0"/>
          <w:numId w:val="1"/>
        </w:numPr>
        <w:spacing w:after="0" w:line="58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一般公共服务支出（类）发展与改革事务（款）行政运行（项）：支出决算数为5,269.77万元，比上年决算减少41.06万元，下降0.77%，主要原因是：本年在职人员减少，相应经费支出减少。</w:t>
      </w:r>
    </w:p>
    <w:p>
      <w:pPr>
        <w:numPr>
          <w:ilvl w:val="0"/>
          <w:numId w:val="1"/>
        </w:numPr>
        <w:spacing w:after="0" w:line="58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一般公共服务支出（类）发展与改革事务（款）日常经济运行调节（项）：支出决算数为4.30万元，比上年决算减少12.89万元，下降74.99%，主要原因是：本年自治区物流</w:t>
      </w:r>
      <w:r>
        <w:rPr>
          <w:rFonts w:hint="eastAsia" w:ascii="Times New Roman" w:hAnsi="Times New Roman" w:eastAsia="仿宋_GB2312" w:cs="Times New Roman"/>
          <w:sz w:val="32"/>
          <w:szCs w:val="32"/>
          <w:lang w:eastAsia="zh-CN"/>
        </w:rPr>
        <w:t>统计</w:t>
      </w:r>
      <w:r>
        <w:rPr>
          <w:rFonts w:ascii="Times New Roman" w:hAnsi="Times New Roman" w:eastAsia="仿宋_GB2312" w:cs="Times New Roman"/>
          <w:sz w:val="32"/>
          <w:szCs w:val="32"/>
          <w:lang w:eastAsia="zh-CN"/>
        </w:rPr>
        <w:t>监测工作经费较上年减少。</w:t>
      </w:r>
    </w:p>
    <w:p>
      <w:pPr>
        <w:numPr>
          <w:ilvl w:val="0"/>
          <w:numId w:val="1"/>
        </w:numPr>
        <w:spacing w:after="0" w:line="58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般公共服务支出（类）发展与改革事务（款）其他发展与改革事务支出（项）：支出决算数为6,219.74万元，比上年决算增加602.17万元，增长10.72%，主要原因是：本年增加2024年中国品牌日活动经费，自治区预算内前期费较上年增加。</w:t>
      </w:r>
    </w:p>
    <w:p>
      <w:pPr>
        <w:numPr>
          <w:ilvl w:val="0"/>
          <w:numId w:val="1"/>
        </w:numPr>
        <w:spacing w:after="0" w:line="58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社会保障和就业支出（类）行政事业单位养老支出（款）行政单位离退休（项）：支出决算数为880.88万元，比上年决算减少358.93万元，下降28.95%，主要原因是：本年退休</w:t>
      </w:r>
      <w:r>
        <w:rPr>
          <w:rFonts w:hint="eastAsia" w:ascii="Times New Roman" w:hAnsi="Times New Roman" w:eastAsia="仿宋_GB2312" w:cs="Times New Roman"/>
          <w:sz w:val="32"/>
          <w:szCs w:val="32"/>
          <w:lang w:eastAsia="zh-CN"/>
        </w:rPr>
        <w:t>人员</w:t>
      </w:r>
      <w:r>
        <w:rPr>
          <w:rFonts w:ascii="Times New Roman" w:hAnsi="Times New Roman" w:eastAsia="仿宋_GB2312" w:cs="Times New Roman"/>
          <w:sz w:val="32"/>
          <w:szCs w:val="32"/>
          <w:lang w:eastAsia="zh-CN"/>
        </w:rPr>
        <w:t>去世</w:t>
      </w:r>
      <w:r>
        <w:rPr>
          <w:rFonts w:hint="eastAsia" w:ascii="Times New Roman" w:hAnsi="Times New Roman" w:eastAsia="仿宋_GB2312" w:cs="Times New Roman"/>
          <w:sz w:val="32"/>
          <w:szCs w:val="32"/>
          <w:lang w:eastAsia="zh-CN"/>
        </w:rPr>
        <w:t>比上年有所</w:t>
      </w:r>
      <w:r>
        <w:rPr>
          <w:rFonts w:ascii="Times New Roman" w:hAnsi="Times New Roman" w:eastAsia="仿宋_GB2312" w:cs="Times New Roman"/>
          <w:sz w:val="32"/>
          <w:szCs w:val="32"/>
          <w:lang w:eastAsia="zh-CN"/>
        </w:rPr>
        <w:t>减少，抚恤金支出</w:t>
      </w:r>
      <w:r>
        <w:rPr>
          <w:rFonts w:hint="eastAsia" w:ascii="Times New Roman" w:hAnsi="Times New Roman" w:eastAsia="仿宋_GB2312" w:cs="Times New Roman"/>
          <w:sz w:val="32"/>
          <w:szCs w:val="32"/>
          <w:lang w:eastAsia="zh-CN"/>
        </w:rPr>
        <w:t>相应</w:t>
      </w:r>
      <w:r>
        <w:rPr>
          <w:rFonts w:ascii="Times New Roman" w:hAnsi="Times New Roman" w:eastAsia="仿宋_GB2312" w:cs="Times New Roman"/>
          <w:sz w:val="32"/>
          <w:szCs w:val="32"/>
          <w:lang w:eastAsia="zh-CN"/>
        </w:rPr>
        <w:t>减少</w:t>
      </w:r>
      <w:r>
        <w:rPr>
          <w:rFonts w:hint="eastAsia" w:ascii="Times New Roman" w:hAnsi="Times New Roman" w:eastAsia="仿宋_GB2312" w:cs="Times New Roman"/>
          <w:sz w:val="32"/>
          <w:szCs w:val="32"/>
          <w:lang w:eastAsia="zh-CN"/>
        </w:rPr>
        <w:t>，致使行政单位离退休支出减少</w:t>
      </w:r>
      <w:r>
        <w:rPr>
          <w:rFonts w:ascii="Times New Roman" w:hAnsi="Times New Roman" w:eastAsia="仿宋_GB2312" w:cs="Times New Roman"/>
          <w:sz w:val="32"/>
          <w:szCs w:val="32"/>
          <w:lang w:eastAsia="zh-CN"/>
        </w:rPr>
        <w:t>。</w:t>
      </w:r>
    </w:p>
    <w:p>
      <w:pPr>
        <w:numPr>
          <w:ilvl w:val="0"/>
          <w:numId w:val="1"/>
        </w:numPr>
        <w:spacing w:after="0" w:line="58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社会保障和就业支出（类）行政事业单位养老支出（款）机关事业单位基本养老保险缴费支出（项）：支出决算数549.39万元，比上年决算减少51.20万元，下降8.52%，主要原因是：本年在职人员减少，养老保险缴费支出</w:t>
      </w:r>
      <w:r>
        <w:rPr>
          <w:rFonts w:hint="eastAsia" w:ascii="Times New Roman" w:hAnsi="Times New Roman" w:eastAsia="仿宋_GB2312" w:cs="Times New Roman"/>
          <w:sz w:val="32"/>
          <w:szCs w:val="32"/>
          <w:lang w:eastAsia="zh-CN"/>
        </w:rPr>
        <w:t>相应</w:t>
      </w:r>
      <w:r>
        <w:rPr>
          <w:rFonts w:ascii="Times New Roman" w:hAnsi="Times New Roman" w:eastAsia="仿宋_GB2312" w:cs="Times New Roman"/>
          <w:sz w:val="32"/>
          <w:szCs w:val="32"/>
          <w:lang w:eastAsia="zh-CN"/>
        </w:rPr>
        <w:t>减少。</w:t>
      </w:r>
    </w:p>
    <w:p>
      <w:pPr>
        <w:numPr>
          <w:ilvl w:val="0"/>
          <w:numId w:val="1"/>
        </w:numPr>
        <w:spacing w:after="0" w:line="58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社会保障和就业支出（类）行政事业单位养老支出（款）机关事业单位职业年金缴费支出（项）：支出决算数为183.65万元，比上年决算增加15.01万元，增长8.90%，主要原因是：本年新增退休人员，职业年金缴费支出</w:t>
      </w:r>
      <w:r>
        <w:rPr>
          <w:rFonts w:hint="eastAsia" w:ascii="Times New Roman" w:hAnsi="Times New Roman" w:eastAsia="仿宋_GB2312" w:cs="Times New Roman"/>
          <w:sz w:val="32"/>
          <w:szCs w:val="32"/>
          <w:lang w:eastAsia="zh-CN"/>
        </w:rPr>
        <w:t>相应</w:t>
      </w:r>
      <w:r>
        <w:rPr>
          <w:rFonts w:ascii="Times New Roman" w:hAnsi="Times New Roman" w:eastAsia="仿宋_GB2312" w:cs="Times New Roman"/>
          <w:sz w:val="32"/>
          <w:szCs w:val="32"/>
          <w:lang w:eastAsia="zh-CN"/>
        </w:rPr>
        <w:t>增加。</w:t>
      </w:r>
    </w:p>
    <w:p>
      <w:pPr>
        <w:numPr>
          <w:ilvl w:val="0"/>
          <w:numId w:val="1"/>
        </w:numPr>
        <w:spacing w:after="0" w:line="58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卫生健康支出（类）行政事业单位医疗（款）行政单位医疗（项）：支出决算数为275.79万元，比上年决算增加5.10万元，增长1.88%，主要原因是：</w:t>
      </w:r>
      <w:r>
        <w:rPr>
          <w:rFonts w:hint="eastAsia" w:ascii="Times New Roman" w:hAnsi="Times New Roman" w:eastAsia="仿宋_GB2312" w:cs="Times New Roman"/>
          <w:b w:val="0"/>
          <w:bCs w:val="0"/>
          <w:sz w:val="32"/>
          <w:szCs w:val="32"/>
          <w:lang w:eastAsia="zh-CN"/>
        </w:rPr>
        <w:t>本年因人员工资标准上调，同时医疗缴费基数相应调增，致使行政单位医疗支出有所增加。</w:t>
      </w:r>
    </w:p>
    <w:p>
      <w:pPr>
        <w:numPr>
          <w:ilvl w:val="0"/>
          <w:numId w:val="1"/>
        </w:numPr>
        <w:spacing w:after="0" w:line="58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卫生健康支出（类）行政事业单位医疗（款）公务员医疗补助（项）：支出决算数为257.41万元，比上年决算增加6.94万元，增长2.77%，主要原因是：</w:t>
      </w:r>
      <w:r>
        <w:rPr>
          <w:rFonts w:hint="eastAsia" w:ascii="Times New Roman" w:hAnsi="Times New Roman" w:eastAsia="仿宋_GB2312" w:cs="Times New Roman"/>
          <w:b w:val="0"/>
          <w:bCs w:val="0"/>
          <w:sz w:val="32"/>
          <w:szCs w:val="32"/>
          <w:highlight w:val="none"/>
          <w:lang w:eastAsia="zh-CN"/>
        </w:rPr>
        <w:t>本年因人员工资标准上调，同时</w:t>
      </w:r>
      <w:r>
        <w:rPr>
          <w:rFonts w:hint="eastAsia" w:ascii="Times New Roman" w:hAnsi="Times New Roman" w:eastAsia="仿宋_GB2312" w:cs="Times New Roman"/>
          <w:sz w:val="32"/>
          <w:szCs w:val="32"/>
          <w:lang w:eastAsia="zh-CN"/>
        </w:rPr>
        <w:t>医疗缴费</w:t>
      </w:r>
      <w:r>
        <w:rPr>
          <w:rFonts w:hint="eastAsia" w:ascii="Times New Roman" w:hAnsi="Times New Roman" w:eastAsia="仿宋_GB2312" w:cs="Times New Roman"/>
          <w:b w:val="0"/>
          <w:bCs w:val="0"/>
          <w:sz w:val="32"/>
          <w:szCs w:val="32"/>
          <w:highlight w:val="none"/>
          <w:lang w:eastAsia="zh-CN"/>
        </w:rPr>
        <w:t>基数相应调增，致使公务员医疗补助支出有所增加。</w:t>
      </w:r>
    </w:p>
    <w:p>
      <w:pPr>
        <w:numPr>
          <w:ilvl w:val="0"/>
          <w:numId w:val="1"/>
        </w:numPr>
        <w:spacing w:after="0" w:line="58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节能环保支出（类）能源节约利用（款）能源节约利用（项）：支出决算数为891.50万元，比上年决算减少61.33万元，下降6.44%，主要原因是：2024年全社会节能减排专项资金较上年减少。</w:t>
      </w:r>
    </w:p>
    <w:p>
      <w:pPr>
        <w:numPr>
          <w:ilvl w:val="0"/>
          <w:numId w:val="1"/>
        </w:numPr>
        <w:spacing w:after="0" w:line="58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住房保障支出（类）住房改革支出（款）住房公积金（项）：支出决算数为436.82万元，比上年决算增加16.19万元，增长3.85%，主要原因是：</w:t>
      </w:r>
      <w:r>
        <w:rPr>
          <w:rFonts w:hint="eastAsia" w:ascii="Times New Roman" w:hAnsi="Times New Roman" w:eastAsia="仿宋_GB2312" w:cs="Times New Roman"/>
          <w:sz w:val="32"/>
          <w:szCs w:val="32"/>
          <w:lang w:eastAsia="zh-CN"/>
        </w:rPr>
        <w:t>本年因人员工资标准上调，同时住房公积金缴存基数相应调增，致使住房公积金缴费支出有所增加。</w:t>
      </w:r>
    </w:p>
    <w:p>
      <w:pPr>
        <w:numPr>
          <w:ilvl w:val="0"/>
          <w:numId w:val="1"/>
        </w:numPr>
        <w:spacing w:after="0" w:line="58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灾害防治及应急管理支出（类）应急管理事务（款）安全监管（项）：支出决算数为5.00万元，与上年相比无变化，主要原因是：2024年自治区安全生产及应急管理专项经费与上年一致无变化。</w:t>
      </w:r>
    </w:p>
    <w:p>
      <w:pPr>
        <w:spacing w:after="0" w:line="58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六、一般公共预算财政拨款基本支出决算情况说明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一般公共预算财政拨款基本支出7,853.69万元，其中：人员经费6,929.12万元，包括：基本工资、津贴补贴、奖金、机关事业单位基本养老保险缴费、职业年金缴费、职工基本医疗保险缴费、公务员医疗补助缴费、其他社会保障缴费、住房公积金、其他工资福利支出、离休费、退休费、抚恤金、生活补助、奖励金和其他对个人和家庭的补助。</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用经费924.58万元，包括：办公费、印刷费、水费、电费、邮电费、取暖费、物业管理费、差旅费、因公出国（境）费用、租赁费、公务接待费、劳务费、委托业务费、工会经费、福利费、公务用车运行维护费、其他商品和服务支出和办公设备购置。</w:t>
      </w:r>
    </w:p>
    <w:p>
      <w:pPr>
        <w:spacing w:after="0" w:line="58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七、政府性基金预算财政拨款收入支出决算情况说明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本单位本年度无政府性基金预算财政拨款收入、支出及结转和结余，政府性基金预算财政拨款收入支出决算表为空表。</w:t>
      </w:r>
    </w:p>
    <w:p>
      <w:pPr>
        <w:spacing w:after="0" w:line="58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八、国有资本经营预算财政拨款收入支出决算情况说明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本单位本年度无国有资本经营预算财政拨款收入、支出及结转和结余，国有资本经营预算财政拨款收入支出决算表为空表。</w:t>
      </w:r>
    </w:p>
    <w:p>
      <w:pPr>
        <w:spacing w:after="0" w:line="58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九、财政拨款“三公”经费支出决算情况说明</w:t>
      </w:r>
    </w:p>
    <w:p>
      <w:pPr>
        <w:spacing w:after="0" w:line="580" w:lineRule="exact"/>
        <w:ind w:firstLine="640" w:firstLineChars="200"/>
        <w:jc w:val="both"/>
        <w:rPr>
          <w:rFonts w:ascii="Times New Roman" w:hAnsi="Times New Roman" w:eastAsia="仿宋_GB2312" w:cs="Times New Roman"/>
          <w:b w:val="0"/>
          <w:bCs w:val="0"/>
          <w:sz w:val="32"/>
          <w:szCs w:val="32"/>
          <w:lang w:eastAsia="zh-CN"/>
        </w:rPr>
      </w:pPr>
      <w:r>
        <w:rPr>
          <w:rFonts w:ascii="Times New Roman" w:hAnsi="Times New Roman" w:eastAsia="仿宋_GB2312" w:cs="Times New Roman"/>
          <w:sz w:val="32"/>
          <w:szCs w:val="32"/>
          <w:lang w:eastAsia="zh-CN"/>
        </w:rPr>
        <w:t>2024年度财政拨款“三公”经费支出112.16万元，比上年减少1.86万元，下降1.63%，主要原因是：</w:t>
      </w:r>
      <w:r>
        <w:rPr>
          <w:rFonts w:ascii="Times New Roman" w:hAnsi="Times New Roman" w:eastAsia="仿宋_GB2312" w:cs="Times New Roman"/>
          <w:sz w:val="32"/>
          <w:szCs w:val="32"/>
          <w:highlight w:val="none"/>
          <w:lang w:eastAsia="zh-CN"/>
        </w:rPr>
        <w:t>严格执行中央八项规定</w:t>
      </w:r>
      <w:r>
        <w:rPr>
          <w:rFonts w:hint="eastAsia" w:ascii="Times New Roman" w:hAnsi="Times New Roman" w:eastAsia="仿宋_GB2312" w:cs="Times New Roman"/>
          <w:sz w:val="32"/>
          <w:szCs w:val="32"/>
          <w:highlight w:val="none"/>
          <w:lang w:eastAsia="zh-CN"/>
        </w:rPr>
        <w:t>精神</w:t>
      </w:r>
      <w:r>
        <w:rPr>
          <w:rFonts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eastAsia="zh-CN"/>
        </w:rPr>
        <w:t>坚持</w:t>
      </w:r>
      <w:r>
        <w:rPr>
          <w:rFonts w:ascii="Times New Roman" w:hAnsi="Times New Roman" w:eastAsia="仿宋_GB2312" w:cs="Times New Roman"/>
          <w:sz w:val="32"/>
          <w:szCs w:val="32"/>
          <w:highlight w:val="none"/>
          <w:lang w:eastAsia="zh-CN"/>
        </w:rPr>
        <w:t>厉行节约，</w:t>
      </w:r>
      <w:r>
        <w:rPr>
          <w:rFonts w:hint="eastAsia" w:ascii="Times New Roman" w:hAnsi="Times New Roman" w:eastAsia="仿宋_GB2312" w:cs="Times New Roman"/>
          <w:sz w:val="32"/>
          <w:szCs w:val="32"/>
          <w:highlight w:val="none"/>
          <w:lang w:eastAsia="zh-CN"/>
        </w:rPr>
        <w:t>减少了</w:t>
      </w:r>
      <w:r>
        <w:rPr>
          <w:rFonts w:ascii="Times New Roman" w:hAnsi="Times New Roman" w:eastAsia="仿宋_GB2312" w:cs="Times New Roman"/>
          <w:sz w:val="32"/>
          <w:szCs w:val="32"/>
          <w:highlight w:val="none"/>
          <w:lang w:eastAsia="zh-CN"/>
        </w:rPr>
        <w:t>公务用车运行维护</w:t>
      </w:r>
      <w:r>
        <w:rPr>
          <w:rFonts w:hint="eastAsia" w:ascii="Times New Roman" w:hAnsi="Times New Roman" w:eastAsia="仿宋_GB2312" w:cs="Times New Roman"/>
          <w:sz w:val="32"/>
          <w:szCs w:val="32"/>
          <w:highlight w:val="none"/>
          <w:lang w:eastAsia="zh-CN"/>
        </w:rPr>
        <w:t>方面的费用</w:t>
      </w:r>
      <w:r>
        <w:rPr>
          <w:rFonts w:ascii="Times New Roman" w:hAnsi="Times New Roman" w:eastAsia="仿宋_GB2312" w:cs="Times New Roman"/>
          <w:sz w:val="32"/>
          <w:szCs w:val="32"/>
          <w:lang w:eastAsia="zh-CN"/>
        </w:rPr>
        <w:t>。其中：因公出国（境）费支出8.19万元,占7.30%，比上年增加8.19万元，增长100%，主要原因是：</w:t>
      </w:r>
      <w:r>
        <w:rPr>
          <w:rFonts w:hint="eastAsia" w:ascii="Times New Roman" w:hAnsi="Times New Roman" w:eastAsia="仿宋_GB2312" w:cs="Times New Roman"/>
          <w:sz w:val="32"/>
          <w:szCs w:val="32"/>
          <w:highlight w:val="none"/>
          <w:lang w:eastAsia="zh-CN"/>
        </w:rPr>
        <w:t>根据自治区党委、自治区人民政府工作安排，</w:t>
      </w:r>
      <w:r>
        <w:rPr>
          <w:rFonts w:hint="eastAsia" w:ascii="Times New Roman" w:hAnsi="Times New Roman" w:eastAsia="仿宋_GB2312" w:cs="Times New Roman"/>
          <w:b w:val="0"/>
          <w:bCs w:val="0"/>
          <w:sz w:val="32"/>
          <w:szCs w:val="32"/>
          <w:lang w:eastAsia="zh-CN"/>
        </w:rPr>
        <w:t>参与了必要国际公务业务活动，致使</w:t>
      </w:r>
      <w:r>
        <w:rPr>
          <w:rFonts w:hint="eastAsia" w:ascii="Times New Roman" w:hAnsi="Times New Roman" w:eastAsia="仿宋_GB2312" w:cs="Times New Roman"/>
          <w:sz w:val="32"/>
          <w:szCs w:val="32"/>
          <w:highlight w:val="none"/>
          <w:lang w:eastAsia="zh-CN"/>
        </w:rPr>
        <w:t>本年</w:t>
      </w:r>
      <w:r>
        <w:rPr>
          <w:rFonts w:ascii="Times New Roman" w:hAnsi="Times New Roman" w:eastAsia="仿宋_GB2312" w:cs="Times New Roman"/>
          <w:sz w:val="32"/>
          <w:szCs w:val="32"/>
          <w:highlight w:val="none"/>
          <w:lang w:eastAsia="zh-CN"/>
        </w:rPr>
        <w:t>因公出国（境）费</w:t>
      </w:r>
      <w:r>
        <w:rPr>
          <w:rFonts w:hint="eastAsia" w:ascii="Times New Roman" w:hAnsi="Times New Roman" w:eastAsia="仿宋_GB2312" w:cs="Times New Roman"/>
          <w:sz w:val="32"/>
          <w:szCs w:val="32"/>
          <w:highlight w:val="none"/>
          <w:lang w:eastAsia="zh-CN"/>
        </w:rPr>
        <w:t>相应增加</w:t>
      </w:r>
      <w:r>
        <w:rPr>
          <w:rFonts w:ascii="Times New Roman" w:hAnsi="Times New Roman" w:eastAsia="仿宋_GB2312" w:cs="Times New Roman"/>
          <w:sz w:val="32"/>
          <w:szCs w:val="32"/>
          <w:lang w:eastAsia="zh-CN"/>
        </w:rPr>
        <w:t>；公务用车购置及运行维护费支出100.04万元，占89.19%，比上年减少10.98万元，下降9.89%，主要原因是：</w:t>
      </w:r>
      <w:r>
        <w:rPr>
          <w:rFonts w:ascii="Times New Roman" w:hAnsi="Times New Roman" w:eastAsia="仿宋_GB2312" w:cs="Times New Roman"/>
          <w:sz w:val="32"/>
          <w:szCs w:val="32"/>
          <w:highlight w:val="none"/>
          <w:lang w:eastAsia="zh-CN"/>
        </w:rPr>
        <w:t>严格执行中央八项规定</w:t>
      </w:r>
      <w:r>
        <w:rPr>
          <w:rFonts w:hint="eastAsia" w:ascii="Times New Roman" w:hAnsi="Times New Roman" w:eastAsia="仿宋_GB2312" w:cs="Times New Roman"/>
          <w:sz w:val="32"/>
          <w:szCs w:val="32"/>
          <w:highlight w:val="none"/>
          <w:lang w:eastAsia="zh-CN"/>
        </w:rPr>
        <w:t>精神</w:t>
      </w:r>
      <w:r>
        <w:rPr>
          <w:rFonts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eastAsia="zh-CN"/>
        </w:rPr>
        <w:t>坚持</w:t>
      </w:r>
      <w:r>
        <w:rPr>
          <w:rFonts w:ascii="Times New Roman" w:hAnsi="Times New Roman" w:eastAsia="仿宋_GB2312" w:cs="Times New Roman"/>
          <w:sz w:val="32"/>
          <w:szCs w:val="32"/>
          <w:highlight w:val="none"/>
          <w:lang w:eastAsia="zh-CN"/>
        </w:rPr>
        <w:t>厉行节约，</w:t>
      </w:r>
      <w:r>
        <w:rPr>
          <w:rFonts w:hint="eastAsia" w:ascii="Times New Roman" w:hAnsi="Times New Roman" w:eastAsia="仿宋_GB2312" w:cs="Times New Roman"/>
          <w:sz w:val="32"/>
          <w:szCs w:val="32"/>
          <w:highlight w:val="none"/>
          <w:lang w:eastAsia="zh-CN"/>
        </w:rPr>
        <w:t>减少了</w:t>
      </w:r>
      <w:r>
        <w:rPr>
          <w:rFonts w:ascii="Times New Roman" w:hAnsi="Times New Roman" w:eastAsia="仿宋_GB2312" w:cs="Times New Roman"/>
          <w:sz w:val="32"/>
          <w:szCs w:val="32"/>
          <w:highlight w:val="none"/>
          <w:lang w:eastAsia="zh-CN"/>
        </w:rPr>
        <w:t>公务用车运行维护</w:t>
      </w:r>
      <w:r>
        <w:rPr>
          <w:rFonts w:hint="eastAsia" w:ascii="Times New Roman" w:hAnsi="Times New Roman" w:eastAsia="仿宋_GB2312" w:cs="Times New Roman"/>
          <w:sz w:val="32"/>
          <w:szCs w:val="32"/>
          <w:highlight w:val="none"/>
          <w:lang w:eastAsia="zh-CN"/>
        </w:rPr>
        <w:t>方面的费用</w:t>
      </w:r>
      <w:r>
        <w:rPr>
          <w:rFonts w:ascii="Times New Roman" w:hAnsi="Times New Roman" w:eastAsia="仿宋_GB2312" w:cs="Times New Roman"/>
          <w:sz w:val="32"/>
          <w:szCs w:val="32"/>
          <w:lang w:eastAsia="zh-CN"/>
        </w:rPr>
        <w:t>；公务接待费支出3.93万元，占3.50%，比上年增加0.93万元，增长31.00%，主要原因是：</w:t>
      </w:r>
      <w:r>
        <w:rPr>
          <w:rFonts w:hint="eastAsia" w:ascii="Times New Roman" w:hAnsi="Times New Roman" w:eastAsia="仿宋_GB2312" w:cs="Times New Roman"/>
          <w:b w:val="0"/>
          <w:bCs w:val="0"/>
          <w:sz w:val="32"/>
          <w:szCs w:val="32"/>
          <w:lang w:eastAsia="zh-CN"/>
        </w:rPr>
        <w:t>因国家及各省来疆业务指导、检查、交流等公务活动增多，相应的必要接待任务有所增加。</w:t>
      </w:r>
    </w:p>
    <w:p>
      <w:pPr>
        <w:spacing w:after="0" w:line="58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具体情况如下：</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因公出国（境）费支出8.19万元，开支内容包括因公出国产生的交通费、住宿费。单位全年安排的因公出国（境）团组1个，因公出国（境）1人次。</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务用车购置及运行维护费100.04万元，其中：公务用车购置费0.00万元，公务用车运行维护费100.04万元。公务用车运行维护费开支内容包括车辆加油费、维修费、保险费、审车费。公务用车购置数0辆，公务用车保有量39辆。国有资产占用情况中固定资产车辆39辆，与公务用车保有量差异原因是：本单位固定资产车辆与公务用车保有量一致无差异。</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公务接待费3.93万元，开支内容包括</w:t>
      </w:r>
      <w:r>
        <w:rPr>
          <w:rFonts w:hint="eastAsia" w:ascii="Times New Roman" w:hAnsi="Times New Roman" w:eastAsia="仿宋_GB2312" w:cs="Times New Roman"/>
          <w:b w:val="0"/>
          <w:bCs w:val="0"/>
          <w:sz w:val="32"/>
          <w:szCs w:val="32"/>
          <w:lang w:eastAsia="zh-CN"/>
        </w:rPr>
        <w:t>国家及各省来疆业务指导、检查、交流等公务活动</w:t>
      </w:r>
      <w:r>
        <w:rPr>
          <w:rFonts w:ascii="Times New Roman" w:hAnsi="Times New Roman" w:eastAsia="仿宋_GB2312" w:cs="Times New Roman"/>
          <w:sz w:val="32"/>
          <w:szCs w:val="32"/>
          <w:lang w:eastAsia="zh-CN"/>
        </w:rPr>
        <w:t>。单位全年安排的国内公务接待36批次，285人次。</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与全年预算相比，财政拨款“三公”经费支出全年预算数112.16万元，决算数112.16万元，预决算差异率0.00%，主要原因是：</w:t>
      </w:r>
      <w:r>
        <w:rPr>
          <w:rFonts w:hint="eastAsia" w:ascii="Times New Roman" w:hAnsi="Times New Roman" w:eastAsia="仿宋_GB2312" w:cs="Times New Roman"/>
          <w:b w:val="0"/>
          <w:bCs w:val="0"/>
          <w:sz w:val="32"/>
          <w:szCs w:val="32"/>
          <w:highlight w:val="none"/>
          <w:lang w:eastAsia="zh-CN"/>
        </w:rPr>
        <w:t>经费使用各环节均严格按预算执行，确保支出与预算安排对应，故预决算无差异</w:t>
      </w:r>
      <w:r>
        <w:rPr>
          <w:rFonts w:ascii="Times New Roman" w:hAnsi="Times New Roman" w:eastAsia="仿宋_GB2312" w:cs="Times New Roman"/>
          <w:sz w:val="32"/>
          <w:szCs w:val="32"/>
          <w:lang w:eastAsia="zh-CN"/>
        </w:rPr>
        <w:t>。其中：因公出国（境）费全年预算数8.19万元，决算数8.19万元，预决算差异率0.00%，主要原因是：</w:t>
      </w:r>
      <w:r>
        <w:rPr>
          <w:rFonts w:hint="eastAsia" w:ascii="Times New Roman" w:hAnsi="Times New Roman" w:eastAsia="仿宋_GB2312" w:cs="Times New Roman"/>
          <w:b w:val="0"/>
          <w:bCs w:val="0"/>
          <w:sz w:val="32"/>
          <w:szCs w:val="32"/>
          <w:highlight w:val="none"/>
          <w:lang w:eastAsia="zh-CN"/>
        </w:rPr>
        <w:t>经费使用各环节均严格按预算执行，确保支出与预算安排对应，故预决算无差异</w:t>
      </w:r>
      <w:r>
        <w:rPr>
          <w:rFonts w:ascii="Times New Roman" w:hAnsi="Times New Roman" w:eastAsia="仿宋_GB2312" w:cs="Times New Roman"/>
          <w:sz w:val="32"/>
          <w:szCs w:val="32"/>
          <w:lang w:eastAsia="zh-CN"/>
        </w:rPr>
        <w:t>；公务用车购置费全年预算数0.00万元，决算数0.00万元，预决算差异率0.00%，主要原因是：本单位无公务用车购置；公务用车运行维护费全年预算数100.04万元，决算数100.04万元，预决算差异率0.00%，主要原因是：</w:t>
      </w:r>
      <w:r>
        <w:rPr>
          <w:rFonts w:hint="eastAsia" w:ascii="Times New Roman" w:hAnsi="Times New Roman" w:eastAsia="仿宋_GB2312" w:cs="Times New Roman"/>
          <w:b w:val="0"/>
          <w:bCs w:val="0"/>
          <w:sz w:val="32"/>
          <w:szCs w:val="32"/>
          <w:highlight w:val="none"/>
          <w:lang w:eastAsia="zh-CN"/>
        </w:rPr>
        <w:t>经费使用各环节均严格按预算执行，确保支出与预算安排对应，故预决算无差异</w:t>
      </w:r>
      <w:r>
        <w:rPr>
          <w:rFonts w:ascii="Times New Roman" w:hAnsi="Times New Roman" w:eastAsia="仿宋_GB2312" w:cs="Times New Roman"/>
          <w:sz w:val="32"/>
          <w:szCs w:val="32"/>
          <w:lang w:eastAsia="zh-CN"/>
        </w:rPr>
        <w:t>；公务接待费全年预算数3.93万元，决算数3.93万元，预决算差异率0.00%，主要原因是：</w:t>
      </w:r>
      <w:r>
        <w:rPr>
          <w:rFonts w:hint="eastAsia" w:ascii="Times New Roman" w:hAnsi="Times New Roman" w:eastAsia="仿宋_GB2312" w:cs="Times New Roman"/>
          <w:b w:val="0"/>
          <w:bCs w:val="0"/>
          <w:sz w:val="32"/>
          <w:szCs w:val="32"/>
          <w:highlight w:val="none"/>
          <w:lang w:eastAsia="zh-CN"/>
        </w:rPr>
        <w:t>经费使用各环节均严格按预算执行，确保支出与预算安排对应，故预决算无差异</w:t>
      </w:r>
      <w:r>
        <w:rPr>
          <w:rFonts w:ascii="Times New Roman" w:hAnsi="Times New Roman" w:eastAsia="仿宋_GB2312" w:cs="Times New Roman"/>
          <w:sz w:val="32"/>
          <w:szCs w:val="32"/>
          <w:lang w:eastAsia="zh-CN"/>
        </w:rPr>
        <w:t>。</w:t>
      </w:r>
    </w:p>
    <w:p>
      <w:pPr>
        <w:spacing w:after="0" w:line="58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十、其他重要事项的情况说明</w:t>
      </w:r>
    </w:p>
    <w:p>
      <w:pPr>
        <w:spacing w:after="0" w:line="580" w:lineRule="exact"/>
        <w:ind w:firstLine="640" w:firstLineChars="200"/>
        <w:outlineLvl w:val="2"/>
        <w:rPr>
          <w:rFonts w:ascii="楷体_GB2312" w:hAnsi="楷体_GB2312" w:eastAsia="楷体_GB2312" w:cs="楷体_GB2312"/>
          <w:bCs/>
          <w:sz w:val="32"/>
          <w:szCs w:val="32"/>
          <w:lang w:eastAsia="zh-CN"/>
        </w:rPr>
      </w:pPr>
      <w:r>
        <w:rPr>
          <w:rFonts w:hint="eastAsia" w:ascii="楷体_GB2312" w:hAnsi="楷体_GB2312" w:eastAsia="楷体_GB2312" w:cs="楷体_GB2312"/>
          <w:bCs/>
          <w:sz w:val="32"/>
          <w:szCs w:val="32"/>
          <w:lang w:eastAsia="zh-CN"/>
        </w:rPr>
        <w:t>（一）机关运行经费及公用经费支出情况</w:t>
      </w:r>
    </w:p>
    <w:p>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2024年度新疆维吾尔自治区发展和改革委员会机关运行经费支出924.58万元，比上年减少73.81万元，下降7.39%，主要原因是：</w:t>
      </w:r>
      <w:r>
        <w:rPr>
          <w:rFonts w:hint="eastAsia" w:ascii="Times New Roman" w:hAnsi="Times New Roman" w:eastAsia="仿宋_GB2312" w:cs="Times New Roman"/>
          <w:sz w:val="32"/>
          <w:szCs w:val="32"/>
          <w:lang w:eastAsia="zh-CN"/>
        </w:rPr>
        <w:t>我委严格落实“过紧日子”政策要求，通过</w:t>
      </w:r>
      <w:r>
        <w:rPr>
          <w:rFonts w:ascii="Times New Roman" w:hAnsi="Times New Roman" w:eastAsia="仿宋_GB2312" w:cs="Times New Roman"/>
          <w:sz w:val="32"/>
          <w:szCs w:val="32"/>
          <w:highlight w:val="none"/>
          <w:lang w:eastAsia="zh-CN"/>
        </w:rPr>
        <w:t>厉行节约，</w:t>
      </w:r>
      <w:r>
        <w:rPr>
          <w:rFonts w:hint="eastAsia" w:ascii="Times New Roman" w:hAnsi="Times New Roman" w:eastAsia="仿宋_GB2312" w:cs="Times New Roman"/>
          <w:sz w:val="32"/>
          <w:szCs w:val="32"/>
          <w:highlight w:val="none"/>
          <w:lang w:eastAsia="zh-CN"/>
        </w:rPr>
        <w:t>严把经费</w:t>
      </w:r>
      <w:r>
        <w:rPr>
          <w:rFonts w:ascii="Times New Roman" w:hAnsi="Times New Roman" w:eastAsia="仿宋_GB2312" w:cs="Times New Roman"/>
          <w:sz w:val="32"/>
          <w:szCs w:val="32"/>
          <w:highlight w:val="none"/>
          <w:lang w:eastAsia="zh-CN"/>
        </w:rPr>
        <w:t>支出</w:t>
      </w:r>
      <w:r>
        <w:rPr>
          <w:rFonts w:hint="eastAsia" w:ascii="Times New Roman" w:hAnsi="Times New Roman" w:eastAsia="仿宋_GB2312" w:cs="Times New Roman"/>
          <w:sz w:val="32"/>
          <w:szCs w:val="32"/>
          <w:highlight w:val="none"/>
          <w:lang w:eastAsia="zh-CN"/>
        </w:rPr>
        <w:t>关口</w:t>
      </w:r>
      <w:r>
        <w:rPr>
          <w:rFonts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eastAsia="zh-CN"/>
        </w:rPr>
        <w:t>压减运行成本，机关</w:t>
      </w:r>
      <w:r>
        <w:rPr>
          <w:rFonts w:ascii="Times New Roman" w:hAnsi="Times New Roman" w:eastAsia="仿宋_GB2312" w:cs="Times New Roman"/>
          <w:sz w:val="32"/>
          <w:szCs w:val="32"/>
          <w:highlight w:val="none"/>
          <w:lang w:eastAsia="zh-CN"/>
        </w:rPr>
        <w:t>运行经费支出</w:t>
      </w:r>
      <w:r>
        <w:rPr>
          <w:rFonts w:hint="eastAsia" w:ascii="Times New Roman" w:hAnsi="Times New Roman" w:eastAsia="仿宋_GB2312" w:cs="Times New Roman"/>
          <w:sz w:val="32"/>
          <w:szCs w:val="32"/>
          <w:highlight w:val="none"/>
          <w:lang w:eastAsia="zh-CN"/>
        </w:rPr>
        <w:t>较上年有所</w:t>
      </w:r>
      <w:r>
        <w:rPr>
          <w:rFonts w:ascii="Times New Roman" w:hAnsi="Times New Roman" w:eastAsia="仿宋_GB2312" w:cs="Times New Roman"/>
          <w:sz w:val="32"/>
          <w:szCs w:val="32"/>
          <w:highlight w:val="none"/>
          <w:lang w:eastAsia="zh-CN"/>
        </w:rPr>
        <w:t>减少。</w:t>
      </w:r>
    </w:p>
    <w:p>
      <w:pPr>
        <w:spacing w:after="0" w:line="580" w:lineRule="exact"/>
        <w:ind w:firstLine="640" w:firstLineChars="200"/>
        <w:outlineLvl w:val="2"/>
        <w:rPr>
          <w:rFonts w:ascii="楷体_GB2312" w:hAnsi="楷体_GB2312" w:eastAsia="楷体_GB2312" w:cs="楷体_GB2312"/>
          <w:bCs/>
          <w:sz w:val="32"/>
          <w:szCs w:val="32"/>
          <w:lang w:eastAsia="zh-CN"/>
        </w:rPr>
      </w:pPr>
      <w:r>
        <w:rPr>
          <w:rFonts w:hint="eastAsia" w:ascii="楷体_GB2312" w:hAnsi="楷体_GB2312" w:eastAsia="楷体_GB2312" w:cs="楷体_GB2312"/>
          <w:bCs/>
          <w:sz w:val="32"/>
          <w:szCs w:val="32"/>
          <w:lang w:eastAsia="zh-CN"/>
        </w:rPr>
        <w:t>（二）政府采购情况</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2024年度政府采购支出总额3,537.48万元，其中：政府采购货物支出77.68万元、政府采购工程支出0.00万元、政府采购服务支出3,459.80万元。</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授予中小企业合同金额1,010.21万元，占政府采购支出总额的28.56%，其中：授予小微企业合同金额1,003.44万元，占政府采购支出总额的28.37%。</w:t>
      </w:r>
    </w:p>
    <w:p>
      <w:pPr>
        <w:spacing w:after="0" w:line="580" w:lineRule="exact"/>
        <w:ind w:firstLine="640" w:firstLineChars="200"/>
        <w:outlineLvl w:val="2"/>
        <w:rPr>
          <w:rFonts w:ascii="楷体_GB2312" w:hAnsi="楷体_GB2312" w:eastAsia="楷体_GB2312" w:cs="楷体_GB2312"/>
          <w:bCs/>
          <w:sz w:val="32"/>
          <w:szCs w:val="32"/>
          <w:lang w:eastAsia="zh-CN"/>
        </w:rPr>
      </w:pPr>
      <w:r>
        <w:rPr>
          <w:rFonts w:hint="eastAsia" w:ascii="楷体_GB2312" w:hAnsi="楷体_GB2312" w:eastAsia="楷体_GB2312" w:cs="楷体_GB2312"/>
          <w:bCs/>
          <w:sz w:val="32"/>
          <w:szCs w:val="32"/>
          <w:lang w:eastAsia="zh-CN"/>
        </w:rPr>
        <w:t>（三）国有资产占用情况说明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rPr>
        <w:t>截至</w:t>
      </w:r>
      <w:r>
        <w:rPr>
          <w:rFonts w:hint="eastAsia" w:ascii="Times New Roman" w:hAnsi="Times New Roman" w:eastAsia="仿宋_GB2312" w:cs="Times New Roman"/>
          <w:sz w:val="32"/>
          <w:szCs w:val="32"/>
          <w:lang w:eastAsia="zh-CN"/>
        </w:rPr>
        <w:t>2024</w:t>
      </w:r>
      <w:r>
        <w:rPr>
          <w:rFonts w:ascii="Times New Roman" w:hAnsi="Times New Roman" w:eastAsia="仿宋_GB2312" w:cs="Times New Roman"/>
          <w:sz w:val="32"/>
          <w:szCs w:val="32"/>
        </w:rPr>
        <w:t>年12月31日，房屋70,180.19平方米，价值3,872.44万元。</w:t>
      </w:r>
      <w:r>
        <w:rPr>
          <w:rFonts w:ascii="Times New Roman" w:hAnsi="Times New Roman" w:eastAsia="仿宋_GB2312" w:cs="Times New Roman"/>
          <w:sz w:val="32"/>
          <w:szCs w:val="32"/>
          <w:lang w:eastAsia="zh-CN"/>
        </w:rPr>
        <w:t>车辆39辆，价值1,060.11万元，其中：副部（省）级及以上领导用车0辆、主要负责人用车0辆、机要通信用车0辆、应急保障用车0辆、执法执勤用车0辆、特种专业技术用车0辆、离退休干部服务用车0辆、其他用车39辆，其他用车主要是：一般公务用车;单价100万元（含）以上设备（不含车辆）0台（套）。</w:t>
      </w:r>
    </w:p>
    <w:p>
      <w:pPr>
        <w:spacing w:after="0" w:line="58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十一、预算绩效的情况说明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根据预算绩效管理要求，本单位2024年度预算绩效评价项目18个，全年预算数157,050.69万元，全年执行数156,948.05万元。预算绩效管理取得的成效：</w:t>
      </w:r>
      <w:r>
        <w:rPr>
          <w:rStyle w:val="15"/>
          <w:rFonts w:ascii="Times New Roman" w:hAnsi="Times New Roman" w:eastAsia="仿宋_GB2312" w:cs="Times New Roman"/>
          <w:b w:val="0"/>
          <w:spacing w:val="-4"/>
          <w:sz w:val="32"/>
          <w:szCs w:val="32"/>
          <w:lang w:eastAsia="zh-CN"/>
        </w:rPr>
        <w:t>一是加强预算和项目全生命周期管理，动态追踪资金使用情况，确保预算执行的规范性和透明度。二是深化预算绩效管理，通过绩效目标设定、运行监控和结果应用，强化资金使用的效益导向。三是科学设定绩效目标</w:t>
      </w:r>
      <w:r>
        <w:rPr>
          <w:rFonts w:ascii="Times New Roman" w:hAnsi="Times New Roman" w:eastAsia="仿宋_GB2312" w:cs="Times New Roman"/>
          <w:sz w:val="32"/>
          <w:szCs w:val="32"/>
          <w:lang w:eastAsia="zh-CN"/>
        </w:rPr>
        <w:t>。发现的问题及原因：</w:t>
      </w:r>
      <w:r>
        <w:rPr>
          <w:rStyle w:val="15"/>
          <w:rFonts w:ascii="Times New Roman" w:hAnsi="Times New Roman" w:eastAsia="仿宋_GB2312" w:cs="Times New Roman"/>
          <w:b w:val="0"/>
          <w:spacing w:val="-4"/>
          <w:sz w:val="32"/>
          <w:szCs w:val="32"/>
          <w:lang w:eastAsia="zh-CN"/>
        </w:rPr>
        <w:t>一是缺少带着问题去评价的意识。二是后续效益评价具体措施和方法较少</w:t>
      </w:r>
      <w:r>
        <w:rPr>
          <w:rFonts w:ascii="Times New Roman" w:hAnsi="Times New Roman" w:eastAsia="仿宋_GB2312" w:cs="Times New Roman"/>
          <w:sz w:val="32"/>
          <w:szCs w:val="32"/>
          <w:lang w:eastAsia="zh-CN"/>
        </w:rPr>
        <w:t>。下一步改进措施：</w:t>
      </w:r>
      <w:r>
        <w:rPr>
          <w:rStyle w:val="15"/>
          <w:rFonts w:ascii="Times New Roman" w:hAnsi="Times New Roman" w:eastAsia="仿宋_GB2312" w:cs="Times New Roman"/>
          <w:b w:val="0"/>
          <w:spacing w:val="-4"/>
          <w:sz w:val="32"/>
          <w:szCs w:val="32"/>
          <w:lang w:eastAsia="zh-CN"/>
        </w:rPr>
        <w:t>加强绩效管理重视程度，定期组织绩效管理培训。项目评价过程中进一步引入第三方评价机构，对</w:t>
      </w:r>
      <w:r>
        <w:rPr>
          <w:rStyle w:val="15"/>
          <w:rFonts w:hint="eastAsia" w:ascii="Times New Roman" w:hAnsi="Times New Roman" w:eastAsia="仿宋_GB2312" w:cs="Times New Roman"/>
          <w:b w:val="0"/>
          <w:spacing w:val="-4"/>
          <w:sz w:val="32"/>
          <w:szCs w:val="32"/>
          <w:lang w:eastAsia="zh-CN"/>
        </w:rPr>
        <w:t>单位</w:t>
      </w:r>
      <w:r>
        <w:rPr>
          <w:rStyle w:val="15"/>
          <w:rFonts w:ascii="Times New Roman" w:hAnsi="Times New Roman" w:eastAsia="仿宋_GB2312" w:cs="Times New Roman"/>
          <w:b w:val="0"/>
          <w:spacing w:val="-4"/>
          <w:sz w:val="32"/>
          <w:szCs w:val="32"/>
          <w:lang w:eastAsia="zh-CN"/>
        </w:rPr>
        <w:t>自我审定时存在的问题进行指导，进一步破除自我审定的局限性，同时查漏补缺</w:t>
      </w:r>
      <w:r>
        <w:rPr>
          <w:rFonts w:ascii="Times New Roman" w:hAnsi="Times New Roman" w:eastAsia="仿宋_GB2312" w:cs="Times New Roman"/>
          <w:sz w:val="32"/>
          <w:szCs w:val="32"/>
          <w:lang w:eastAsia="zh-CN"/>
        </w:rPr>
        <w:t>。具体附项目支出绩效自评表。</w:t>
      </w:r>
    </w:p>
    <w:p>
      <w:pPr>
        <w:spacing w:after="0" w:line="58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十二、其他需说明的事项</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本年本单位SM项目3个，全年预算数63.20万元，全年执行数63.20万元。</w:t>
      </w:r>
    </w:p>
    <w:p>
      <w:pPr>
        <w:spacing w:after="0" w:line="580" w:lineRule="exact"/>
        <w:ind w:firstLine="640" w:firstLineChars="200"/>
        <w:rPr>
          <w:rFonts w:ascii="Times New Roman" w:hAnsi="Times New Roman" w:eastAsia="仿宋_GB2312" w:cs="Times New Roman"/>
          <w:sz w:val="32"/>
          <w:szCs w:val="32"/>
          <w:lang w:eastAsia="zh-CN"/>
        </w:rPr>
      </w:pPr>
    </w:p>
    <w:p>
      <w:pPr>
        <w:spacing w:line="580" w:lineRule="exact"/>
        <w:rPr>
          <w:rFonts w:ascii="Times New Roman" w:hAnsi="Times New Roman" w:cs="Times New Roman"/>
          <w:lang w:eastAsia="zh-CN"/>
        </w:rPr>
      </w:pPr>
      <w:r>
        <w:rPr>
          <w:rFonts w:ascii="Times New Roman" w:hAnsi="Times New Roman" w:cs="Times New Roman"/>
          <w:sz w:val="0"/>
          <w:szCs w:val="0"/>
          <w:lang w:eastAsia="zh-CN"/>
        </w:rPr>
        <w:br w:type="page"/>
      </w:r>
    </w:p>
    <w:p>
      <w:pPr>
        <w:spacing w:after="0" w:line="580" w:lineRule="exact"/>
        <w:jc w:val="center"/>
        <w:outlineLvl w:val="0"/>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第三部分专业名词解释</w:t>
      </w:r>
    </w:p>
    <w:p>
      <w:pPr>
        <w:spacing w:after="0" w:line="58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一、财政拨款收入：</w:t>
      </w:r>
      <w:r>
        <w:rPr>
          <w:rFonts w:ascii="Times New Roman" w:hAnsi="Times New Roman" w:eastAsia="仿宋_GB2312" w:cs="Times New Roman"/>
          <w:sz w:val="32"/>
          <w:szCs w:val="32"/>
          <w:lang w:eastAsia="zh-CN"/>
        </w:rPr>
        <w:t>指同级财政当年拨付的资金。</w:t>
      </w:r>
    </w:p>
    <w:p>
      <w:pPr>
        <w:spacing w:after="0" w:line="58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二、上级补助收入：</w:t>
      </w:r>
      <w:r>
        <w:rPr>
          <w:rFonts w:ascii="Times New Roman" w:hAnsi="Times New Roman" w:eastAsia="仿宋_GB2312" w:cs="Times New Roman"/>
          <w:sz w:val="32"/>
          <w:szCs w:val="32"/>
          <w:lang w:eastAsia="zh-CN"/>
        </w:rPr>
        <w:t>指事业单位从主管部门和上级单位取得的非财政补助收入。</w:t>
      </w:r>
    </w:p>
    <w:p>
      <w:pPr>
        <w:spacing w:after="0" w:line="58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三、事业收入：</w:t>
      </w:r>
      <w:r>
        <w:rPr>
          <w:rFonts w:ascii="Times New Roman" w:hAnsi="Times New Roman" w:eastAsia="仿宋_GB2312" w:cs="Times New Roman"/>
          <w:sz w:val="32"/>
          <w:szCs w:val="32"/>
          <w:lang w:eastAsia="zh-CN"/>
        </w:rPr>
        <w:t>指事业单位开展专业业务活动及其辅助活动所取得的收入。</w:t>
      </w:r>
    </w:p>
    <w:p>
      <w:pPr>
        <w:spacing w:after="0" w:line="58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四、经营收入：</w:t>
      </w:r>
      <w:r>
        <w:rPr>
          <w:rFonts w:ascii="Times New Roman" w:hAnsi="Times New Roman" w:eastAsia="仿宋_GB2312" w:cs="Times New Roman"/>
          <w:sz w:val="32"/>
          <w:szCs w:val="32"/>
          <w:lang w:eastAsia="zh-CN"/>
        </w:rPr>
        <w:t>指事业单位在专业业务活动及其辅助活动之外开展非独立核算经营活动取得的收入。</w:t>
      </w:r>
    </w:p>
    <w:p>
      <w:pPr>
        <w:spacing w:after="0" w:line="58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五、附属单位上缴收入：</w:t>
      </w:r>
      <w:r>
        <w:rPr>
          <w:rFonts w:ascii="Times New Roman" w:hAnsi="Times New Roman" w:eastAsia="仿宋_GB2312" w:cs="Times New Roman"/>
          <w:sz w:val="32"/>
          <w:szCs w:val="32"/>
          <w:lang w:eastAsia="zh-CN"/>
        </w:rPr>
        <w:t>指事业单位附属的独立核算单位按有关规定上缴的收入。</w:t>
      </w:r>
    </w:p>
    <w:p>
      <w:pPr>
        <w:spacing w:after="0" w:line="58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六、其他收入：</w:t>
      </w:r>
      <w:r>
        <w:rPr>
          <w:rFonts w:ascii="Times New Roman" w:hAnsi="Times New Roman" w:eastAsia="仿宋_GB2312" w:cs="Times New Roman"/>
          <w:sz w:val="32"/>
          <w:szCs w:val="32"/>
          <w:lang w:eastAsia="zh-CN"/>
        </w:rPr>
        <w:t>指除上述“财政拨款收入”、“事业收入”、“经营收入”、“附属单位上缴收入”等之外取得的收入。</w:t>
      </w:r>
    </w:p>
    <w:p>
      <w:pPr>
        <w:spacing w:after="0" w:line="58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七、年初结转和结余：</w:t>
      </w:r>
      <w:r>
        <w:rPr>
          <w:rFonts w:ascii="Times New Roman" w:hAnsi="Times New Roman" w:eastAsia="仿宋_GB2312" w:cs="Times New Roman"/>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pPr>
        <w:spacing w:after="0" w:line="58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八、年末结转和结余：</w:t>
      </w:r>
      <w:r>
        <w:rPr>
          <w:rFonts w:ascii="Times New Roman" w:hAnsi="Times New Roman" w:eastAsia="仿宋_GB2312" w:cs="Times New Roman"/>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58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九、基本支出：</w:t>
      </w:r>
      <w:r>
        <w:rPr>
          <w:rFonts w:ascii="Times New Roman" w:hAnsi="Times New Roman" w:eastAsia="仿宋_GB2312" w:cs="Times New Roman"/>
          <w:sz w:val="32"/>
          <w:szCs w:val="32"/>
          <w:lang w:eastAsia="zh-CN"/>
        </w:rPr>
        <w:t>指为保障机构正常运转、完成日常工作任务而发生的人员支出和公用支出。</w:t>
      </w:r>
    </w:p>
    <w:p>
      <w:pPr>
        <w:spacing w:after="0" w:line="58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十、项目支出：</w:t>
      </w:r>
      <w:r>
        <w:rPr>
          <w:rFonts w:ascii="Times New Roman" w:hAnsi="Times New Roman" w:eastAsia="仿宋_GB2312" w:cs="Times New Roman"/>
          <w:sz w:val="32"/>
          <w:szCs w:val="32"/>
          <w:lang w:eastAsia="zh-CN"/>
        </w:rPr>
        <w:t>指在基本支出之外为完成特定行政任务和事业发展目标所发生的支出。</w:t>
      </w:r>
    </w:p>
    <w:p>
      <w:pPr>
        <w:spacing w:after="0" w:line="58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十一、经营支出：</w:t>
      </w:r>
      <w:r>
        <w:rPr>
          <w:rFonts w:ascii="Times New Roman" w:hAnsi="Times New Roman" w:eastAsia="仿宋_GB2312" w:cs="Times New Roman"/>
          <w:sz w:val="32"/>
          <w:szCs w:val="32"/>
          <w:lang w:eastAsia="zh-CN"/>
        </w:rPr>
        <w:t>指事业单位在专业业务活动及其辅助活动之外开展非独立核算经营活动发生的支出。</w:t>
      </w:r>
    </w:p>
    <w:p>
      <w:pPr>
        <w:spacing w:after="0" w:line="58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十二、对附属单位补助支出：</w:t>
      </w:r>
      <w:r>
        <w:rPr>
          <w:rFonts w:ascii="Times New Roman" w:hAnsi="Times New Roman" w:eastAsia="仿宋_GB2312" w:cs="Times New Roman"/>
          <w:sz w:val="32"/>
          <w:szCs w:val="32"/>
          <w:lang w:eastAsia="zh-CN"/>
        </w:rPr>
        <w:t>指事业单位发生的用非财政预算资金对附属单位的补助支出。</w:t>
      </w:r>
    </w:p>
    <w:p>
      <w:pPr>
        <w:spacing w:after="0" w:line="58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十三、“三公”经费：</w:t>
      </w:r>
      <w:r>
        <w:rPr>
          <w:rFonts w:ascii="Times New Roman" w:hAnsi="Times New Roman" w:eastAsia="仿宋_GB2312" w:cs="Times New Roman"/>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after="0" w:line="580" w:lineRule="exact"/>
        <w:ind w:firstLine="642"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十四、机关运行经费：</w:t>
      </w:r>
      <w:r>
        <w:rPr>
          <w:rFonts w:ascii="Times New Roman" w:hAnsi="Times New Roman" w:eastAsia="仿宋_GB2312" w:cs="Times New Roman"/>
          <w:sz w:val="32"/>
          <w:szCs w:val="32"/>
          <w:lang w:eastAsia="zh-CN"/>
        </w:rPr>
        <w:t>行政单位和参照公务员法管理的事业单位财政拨款基本支出中的公用经费支出。</w:t>
      </w:r>
    </w:p>
    <w:p>
      <w:pPr>
        <w:spacing w:line="580" w:lineRule="exact"/>
        <w:rPr>
          <w:rFonts w:ascii="Times New Roman" w:hAnsi="Times New Roman" w:cs="Times New Roman"/>
          <w:lang w:eastAsia="zh-CN"/>
        </w:rPr>
      </w:pPr>
      <w:r>
        <w:rPr>
          <w:rFonts w:ascii="Times New Roman" w:hAnsi="Times New Roman" w:cs="Times New Roman"/>
          <w:sz w:val="0"/>
          <w:szCs w:val="0"/>
          <w:lang w:eastAsia="zh-CN"/>
        </w:rPr>
        <w:br w:type="page"/>
      </w:r>
    </w:p>
    <w:p>
      <w:pPr>
        <w:spacing w:after="0" w:line="580" w:lineRule="exact"/>
        <w:jc w:val="center"/>
        <w:outlineLvl w:val="0"/>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第四部分部门决算报表（见附表）</w:t>
      </w:r>
    </w:p>
    <w:p>
      <w:pPr>
        <w:spacing w:after="0" w:line="58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一、《收入支出决算总表》</w:t>
      </w:r>
    </w:p>
    <w:p>
      <w:pPr>
        <w:spacing w:after="0" w:line="58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二、《收入决算表》</w:t>
      </w:r>
    </w:p>
    <w:p>
      <w:pPr>
        <w:spacing w:after="0" w:line="58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三、《支出决算表》</w:t>
      </w:r>
    </w:p>
    <w:p>
      <w:pPr>
        <w:spacing w:after="0" w:line="58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四、《财政拨款收入支出决算总表》</w:t>
      </w:r>
    </w:p>
    <w:p>
      <w:pPr>
        <w:spacing w:after="0" w:line="58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五、《一般公共预算财政拨款支出决算表》</w:t>
      </w:r>
    </w:p>
    <w:p>
      <w:pPr>
        <w:spacing w:after="0" w:line="58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六、《一般公共预算财政拨款基本支出决算表》</w:t>
      </w:r>
    </w:p>
    <w:p>
      <w:pPr>
        <w:spacing w:after="0" w:line="58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七、《政府性基金预算财政拨款收入支出决算表》</w:t>
      </w:r>
    </w:p>
    <w:p>
      <w:pPr>
        <w:spacing w:after="0" w:line="58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八、《国有资本经营预算财政拨款收入支出决算表》</w:t>
      </w:r>
    </w:p>
    <w:p>
      <w:pPr>
        <w:spacing w:after="0" w:line="58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九、《财政拨款“三公”经费支出决算表》</w:t>
      </w:r>
    </w:p>
    <w:sectPr>
      <w:footerReference r:id="rId5" w:type="default"/>
      <w:pgSz w:w="12240" w:h="15840"/>
      <w:pgMar w:top="2098" w:right="1531" w:bottom="1984" w:left="1531" w:header="720" w:footer="720" w:gutter="0"/>
      <w:pgNumType w:fmt="numberInDash"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3073" o:spid="_x0000_s3073"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8"/>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- 4 -</w:t>
                </w:r>
                <w:r>
                  <w:rPr>
                    <w:rFonts w:hint="eastAsia" w:asciiTheme="minorEastAsia" w:hAnsiTheme="minorEastAsia" w:eastAsiaTheme="minorEastAsia" w:cstheme="minorEastAsia"/>
                    <w:sz w:val="28"/>
                    <w:szCs w:val="28"/>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420"/>
  <w:noPunctuationKerning w:val="1"/>
  <w:characterSpacingControl w:val="doNotCompress"/>
  <w:hdrShapeDefaults>
    <o:shapelayout v:ext="edit">
      <o:idmap v:ext="edit" data="3"/>
    </o:shapelayout>
  </w:hdrShapeDefault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E13C57"/>
    <w:rsid w:val="00BC090C"/>
    <w:rsid w:val="00D17515"/>
    <w:rsid w:val="00E13C57"/>
    <w:rsid w:val="05ED287B"/>
    <w:rsid w:val="08C03473"/>
    <w:rsid w:val="31E1576E"/>
    <w:rsid w:val="3C2E2CD7"/>
    <w:rsid w:val="4DE46A98"/>
    <w:rsid w:val="5DBDCDCA"/>
    <w:rsid w:val="6CF92FD5"/>
    <w:rsid w:val="73F55B40"/>
    <w:rsid w:val="798D383C"/>
    <w:rsid w:val="7EDF0E0B"/>
    <w:rsid w:val="7FDF3269"/>
    <w:rsid w:val="9D2EB1A5"/>
    <w:rsid w:val="FEAED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semiHidden/>
    <w:unhideWhenUsed/>
    <w:qFormat/>
    <w:uiPriority w:val="99"/>
    <w:pPr>
      <w:tabs>
        <w:tab w:val="center" w:pos="4153"/>
        <w:tab w:val="right" w:pos="8306"/>
      </w:tabs>
      <w:snapToGrid w:val="0"/>
    </w:pPr>
    <w:rPr>
      <w:sz w:val="18"/>
    </w:rPr>
  </w:style>
  <w:style w:type="paragraph" w:styleId="9">
    <w:name w:val="header"/>
    <w:basedOn w:val="1"/>
    <w:link w:val="18"/>
    <w:unhideWhenUsed/>
    <w:qFormat/>
    <w:uiPriority w:val="99"/>
    <w:pPr>
      <w:tabs>
        <w:tab w:val="center" w:pos="4680"/>
        <w:tab w:val="right" w:pos="9360"/>
      </w:tabs>
    </w:pPr>
  </w:style>
  <w:style w:type="paragraph" w:styleId="10">
    <w:name w:val="Subtitle"/>
    <w:basedOn w:val="1"/>
    <w:next w:val="1"/>
    <w:link w:val="23"/>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4"/>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Strong"/>
    <w:basedOn w:val="14"/>
    <w:qFormat/>
    <w:uiPriority w:val="0"/>
    <w:rPr>
      <w:b/>
      <w:bCs/>
    </w:rPr>
  </w:style>
  <w:style w:type="character" w:styleId="16">
    <w:name w:val="Emphasis"/>
    <w:basedOn w:val="14"/>
    <w:qFormat/>
    <w:uiPriority w:val="20"/>
    <w:rPr>
      <w:i/>
      <w:iCs/>
    </w:rPr>
  </w:style>
  <w:style w:type="character" w:styleId="17">
    <w:name w:val="Hyperlink"/>
    <w:basedOn w:val="14"/>
    <w:unhideWhenUsed/>
    <w:qFormat/>
    <w:uiPriority w:val="99"/>
    <w:rPr>
      <w:color w:val="0000FF" w:themeColor="hyperlink"/>
      <w:u w:val="single"/>
    </w:rPr>
  </w:style>
  <w:style w:type="character" w:customStyle="1" w:styleId="18">
    <w:name w:val="页眉 Char"/>
    <w:basedOn w:val="14"/>
    <w:link w:val="9"/>
    <w:qFormat/>
    <w:uiPriority w:val="99"/>
  </w:style>
  <w:style w:type="character" w:customStyle="1" w:styleId="19">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20">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1">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2">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3">
    <w:name w:val="副标题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4">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1333</Words>
  <Characters>7601</Characters>
  <Lines>63</Lines>
  <Paragraphs>17</Paragraphs>
  <TotalTime>17</TotalTime>
  <ScaleCrop>false</ScaleCrop>
  <LinksUpToDate>false</LinksUpToDate>
  <CharactersWithSpaces>8917</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2025-08-19T11:11:00Z</dcterms:created>
  <dc:creator>admin</dc:creator>
  <cp:lastModifiedBy>fgw</cp:lastModifiedBy>
  <dcterms:modified xsi:type="dcterms:W3CDTF">2025-08-28T10:18:31Z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eyJoZGlkIjoiZTM3ZDYwNjg1ZjU0OWUzODg2NDlmOWVjNTUxNzAxMzIifQ==</vt:lpwstr>
  </property>
  <property fmtid="{D5CDD505-2E9C-101B-9397-08002B2CF9AE}" pid="3" name="KSOProductBuildVer">
    <vt:lpwstr>2052-11.8.2.11958</vt:lpwstr>
  </property>
  <property fmtid="{D5CDD505-2E9C-101B-9397-08002B2CF9AE}" pid="4" name="ICV">
    <vt:lpwstr>C5A21AB0925E469B9552C52EF4B6611B_12</vt:lpwstr>
  </property>
</Properties>
</file>