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A8B48C">
      <w:pPr>
        <w:spacing w:after="0" w:line="240" w:lineRule="auto"/>
        <w:rPr>
          <w:rFonts w:ascii="宋体" w:eastAsia="宋体"/>
          <w:sz w:val="32"/>
          <w:szCs w:val="32"/>
        </w:rPr>
      </w:pPr>
    </w:p>
    <w:p w14:paraId="011A4E06">
      <w:pPr>
        <w:spacing w:after="0" w:line="240" w:lineRule="auto"/>
        <w:rPr>
          <w:rFonts w:ascii="宋体" w:eastAsia="宋体"/>
          <w:sz w:val="44"/>
          <w:szCs w:val="44"/>
        </w:rPr>
      </w:pPr>
    </w:p>
    <w:p w14:paraId="6F4ABDB5">
      <w:pPr>
        <w:spacing w:after="0" w:line="240" w:lineRule="auto"/>
        <w:rPr>
          <w:rFonts w:ascii="宋体" w:eastAsia="宋体"/>
          <w:sz w:val="44"/>
          <w:szCs w:val="44"/>
        </w:rPr>
      </w:pPr>
    </w:p>
    <w:p w14:paraId="7506278C">
      <w:pPr>
        <w:spacing w:after="0" w:line="240" w:lineRule="auto"/>
        <w:rPr>
          <w:rFonts w:ascii="宋体" w:eastAsia="宋体"/>
          <w:sz w:val="44"/>
          <w:szCs w:val="44"/>
        </w:rPr>
      </w:pPr>
    </w:p>
    <w:p w14:paraId="4CF497D0">
      <w:pPr>
        <w:spacing w:after="0" w:line="240" w:lineRule="auto"/>
        <w:jc w:val="center"/>
        <w:outlineLvl w:val="0"/>
        <w:rPr>
          <w:rFonts w:ascii="宋体" w:eastAsia="黑体"/>
          <w:sz w:val="44"/>
          <w:szCs w:val="44"/>
          <w:lang w:eastAsia="zh-CN"/>
        </w:rPr>
      </w:pPr>
      <w:r>
        <w:rPr>
          <w:rFonts w:ascii="宋体" w:eastAsia="黑体"/>
          <w:sz w:val="44"/>
          <w:szCs w:val="44"/>
          <w:lang w:eastAsia="zh-CN"/>
        </w:rPr>
        <w:t>新疆维吾尔自治区政府投资项目评审中心</w:t>
      </w:r>
    </w:p>
    <w:p w14:paraId="36A8ABDC">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1DAC0D32">
      <w:pPr>
        <w:spacing w:after="0" w:line="560" w:lineRule="exact"/>
        <w:jc w:val="center"/>
        <w:rPr>
          <w:rFonts w:ascii="Times New Roman" w:hAnsi="Times New Roman" w:eastAsia="黑体" w:cs="Times New Roman"/>
          <w:sz w:val="32"/>
          <w:szCs w:val="32"/>
          <w:lang w:eastAsia="zh-CN"/>
        </w:rPr>
        <w:sectPr>
          <w:pgSz w:w="12240" w:h="15840"/>
          <w:pgMar w:top="2098" w:right="1531" w:bottom="1985" w:left="1531" w:header="720" w:footer="720" w:gutter="0"/>
          <w:cols w:space="720" w:num="1"/>
          <w:docGrid w:linePitch="299" w:charSpace="0"/>
        </w:sectPr>
      </w:pPr>
    </w:p>
    <w:p w14:paraId="7602493F">
      <w:pPr>
        <w:spacing w:after="0" w:line="560" w:lineRule="exact"/>
        <w:jc w:val="center"/>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目录</w:t>
      </w:r>
    </w:p>
    <w:p w14:paraId="0C6C6C9B">
      <w:pPr>
        <w:spacing w:after="0" w:line="560" w:lineRule="exact"/>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第一部分单位概况</w:t>
      </w:r>
    </w:p>
    <w:p w14:paraId="1A0BFF71">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一、主要职能</w:t>
      </w:r>
    </w:p>
    <w:p w14:paraId="107FF74E">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二、机构设置及人员情况</w:t>
      </w:r>
    </w:p>
    <w:p w14:paraId="4CD937B1">
      <w:pPr>
        <w:spacing w:after="0" w:line="560" w:lineRule="exact"/>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第二部分部门决算情况说明</w:t>
      </w:r>
    </w:p>
    <w:p w14:paraId="1135FC84">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一、收入支出决算总体情况说明</w:t>
      </w:r>
    </w:p>
    <w:p w14:paraId="5F9E287E">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二、收入决算情况说明</w:t>
      </w:r>
    </w:p>
    <w:p w14:paraId="6046D4C1">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三、支出决算情况说明</w:t>
      </w:r>
    </w:p>
    <w:p w14:paraId="3706B393">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四、财政拨款收入支出决算总体情况说明</w:t>
      </w:r>
    </w:p>
    <w:p w14:paraId="33817A84">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五、一般公共预算财政拨款支出决算情况说明</w:t>
      </w:r>
    </w:p>
    <w:p w14:paraId="5A8BE1D8">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（一）一般公共预算财政拨款支出决算总体情况</w:t>
      </w:r>
    </w:p>
    <w:p w14:paraId="2C9C8CAE">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（二）一般公共预算财政拨款支出决算结构情况</w:t>
      </w:r>
    </w:p>
    <w:p w14:paraId="4DEAF402">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（三）一般公共预算财政拨款支出决算具体情况</w:t>
      </w:r>
    </w:p>
    <w:p w14:paraId="2F9F7E53">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六、一般公共预算财政拨款基本支出决算情况说明</w:t>
      </w:r>
    </w:p>
    <w:p w14:paraId="5B18725C">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七、政府性基金预算财政拨款收入支出决算情况说明</w:t>
      </w:r>
    </w:p>
    <w:p w14:paraId="095CA22B">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八、国有资本经营预算财政拨款收入支出决算情况说明</w:t>
      </w:r>
    </w:p>
    <w:p w14:paraId="39492E99">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九、财政拨款“三公”经费支出决算情况说明</w:t>
      </w:r>
    </w:p>
    <w:p w14:paraId="1A9F2157">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十、其他重要事项的情况说明</w:t>
      </w:r>
    </w:p>
    <w:p w14:paraId="383011E2">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（一）机关运行经费及公用经费支出情况</w:t>
      </w:r>
    </w:p>
    <w:p w14:paraId="1C6456B2">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（二）政府采购情况</w:t>
      </w:r>
    </w:p>
    <w:p w14:paraId="5D277B9C">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（三）国有资产占用情况说明</w:t>
      </w:r>
    </w:p>
    <w:p w14:paraId="0812C09B">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十一、预算绩效的情况说明</w:t>
      </w:r>
    </w:p>
    <w:p w14:paraId="13CF074F">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十二、其他需说明的事项</w:t>
      </w:r>
    </w:p>
    <w:p w14:paraId="5E22F9F6">
      <w:pPr>
        <w:spacing w:after="0" w:line="560" w:lineRule="exact"/>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第三部分专业名词解释</w:t>
      </w:r>
    </w:p>
    <w:p w14:paraId="294D61F9">
      <w:pPr>
        <w:spacing w:after="0" w:line="560" w:lineRule="exact"/>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第四部分部门决算报表（见附表）</w:t>
      </w:r>
    </w:p>
    <w:p w14:paraId="6351BB1B">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一、《收入支出决算总表》</w:t>
      </w:r>
    </w:p>
    <w:p w14:paraId="6EF63544">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二、《收入决算表》</w:t>
      </w:r>
    </w:p>
    <w:p w14:paraId="0906ADB5">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三、《支出决算表》</w:t>
      </w:r>
    </w:p>
    <w:p w14:paraId="5836CEF4">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四、《财政拨款收入支出决算总表》</w:t>
      </w:r>
    </w:p>
    <w:p w14:paraId="15DE9734">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五、《一般公共预算财政拨款支出决算表》</w:t>
      </w:r>
    </w:p>
    <w:p w14:paraId="20FEDEEE">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六、《一般公共预算财政拨款基本支出决算表》</w:t>
      </w:r>
    </w:p>
    <w:p w14:paraId="613CAA29">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七、《政府性基金预算财政拨款收入支出决算表》</w:t>
      </w:r>
    </w:p>
    <w:p w14:paraId="1CE6F258">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八、《国有资本经营预算财政拨款收入支出决算表》</w:t>
      </w:r>
    </w:p>
    <w:p w14:paraId="7CE3A803">
      <w:p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九、《财政拨款“三公”经费支出决算表》</w:t>
      </w:r>
    </w:p>
    <w:p w14:paraId="5C1CCAD3">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14:paraId="51B7A6C4">
      <w:pPr>
        <w:spacing w:after="0" w:line="56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第一部分单位概况</w:t>
      </w:r>
    </w:p>
    <w:p w14:paraId="44A331EA">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一、主要职能</w:t>
      </w:r>
    </w:p>
    <w:p w14:paraId="3C35EE50">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（一）接受自治区发改委委托，对基本建设、技术改造和利用外资等项目的前期工作以及建设实施进行评估、论证、咨询，为决策提供科学依据。 </w:t>
      </w:r>
    </w:p>
    <w:p w14:paraId="166BE921">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 xml:space="preserve">（二）接受国内外业主委托，编制建设项目规划、项目建议书、可行性研究报告等，开展与工程建设有关的咨询服务。 </w:t>
      </w:r>
    </w:p>
    <w:p w14:paraId="24C171CF">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（三）承办自治区发改委交办的其他事项。</w:t>
      </w:r>
    </w:p>
    <w:p w14:paraId="53626A90">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二、机构设置及人员情况</w:t>
      </w:r>
    </w:p>
    <w:p w14:paraId="6C7537BC">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新疆维吾尔自治区政府投资项目评审中心2024年度，实有人数50人，其中：在职人员29人，减少6人；离休人员0人，较上年无变化；退休人员21人，增加4人。</w:t>
      </w:r>
    </w:p>
    <w:p w14:paraId="005247CA">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新疆维吾尔自治区政府投资项目评审中心无下属预算单位，下设5个部室，分别是：办公室、项目一部、项目二部、项目三部、综合部。</w:t>
      </w:r>
    </w:p>
    <w:p w14:paraId="7FB66E67">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14:paraId="24FA8496">
      <w:pPr>
        <w:spacing w:after="0" w:line="56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第二部分部门决算情况说明</w:t>
      </w:r>
    </w:p>
    <w:p w14:paraId="308B28FC">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一、收入支出决算总体情况说明</w:t>
      </w:r>
    </w:p>
    <w:p w14:paraId="0326BF9D">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2024年度收入总计2,404.34万元，其中：本年收入合计2,247.96万元，使用非财政拨款结余（含专用结余）0.00万元，年初结转和结余156.39万元。</w:t>
      </w:r>
    </w:p>
    <w:p w14:paraId="7ADB3984">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2024年度支出总计2,404.34万元，其中：本年支出合计1,628.39万元，结余分配590.27万元，年末结转和结余185.68万元。</w:t>
      </w:r>
    </w:p>
    <w:p w14:paraId="7062CD8E">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收入支出总体与上年相比，减少29.17万元，下降1.20%，主要原因是：本年度减少天山英才培养工程</w:t>
      </w:r>
      <w:r>
        <w:rPr>
          <w:rFonts w:hint="eastAsia" w:ascii="Times New Roman" w:hAnsi="Times New Roman" w:eastAsia="仿宋_GB2312" w:cs="Times New Roman"/>
          <w:sz w:val="32"/>
          <w:szCs w:val="32"/>
          <w:lang w:eastAsia="zh-CN"/>
        </w:rPr>
        <w:t>等</w:t>
      </w:r>
      <w:r>
        <w:rPr>
          <w:rFonts w:ascii="Times New Roman" w:hAnsi="Times New Roman" w:eastAsia="仿宋_GB2312" w:cs="Times New Roman"/>
          <w:sz w:val="32"/>
          <w:szCs w:val="32"/>
          <w:lang w:eastAsia="zh-CN"/>
        </w:rPr>
        <w:t>项目资金。</w:t>
      </w:r>
    </w:p>
    <w:p w14:paraId="4A57D448">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二、收入决算情况说明</w:t>
      </w:r>
    </w:p>
    <w:p w14:paraId="06EA2A34">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收入2,247.96万元，其中：财政拨款收入981.12万元,占43.64%；上级补助收入0.00万元,占0.00%；事业收入0.00万元，占0.00%；经营收入1,263.94万元,占56.23%；附属单位上缴收入0.00万元，占0.00%；其他收入2.90万元，占0.13%。</w:t>
      </w:r>
    </w:p>
    <w:p w14:paraId="5DD8BA09">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三、支出决算情况说明</w:t>
      </w:r>
    </w:p>
    <w:p w14:paraId="4E58EBC8">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本年支出1,628.39万元，其中：基本支出872.76万元，占53.60%；项目支出81.97万元，占5.03%；上缴上级支出0.00万元，占0.00%；经营支出673.67万元，占41.37%；对附属单位补助支出0.00万元，占0.00%。</w:t>
      </w:r>
    </w:p>
    <w:p w14:paraId="72DE7B8A">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四、财政拨款收入支出决算总体情况说明</w:t>
      </w:r>
    </w:p>
    <w:p w14:paraId="3464203A">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2024年度财政拨款收入总计981.12万元，其中：年初财政拨款结转和结余0.00万元，本年财政拨款收入981.12万元。财政拨款支出总计981.12万元，其中：年末财政拨款结转和结余28.89万元，本年财政拨款支出952.22万元。</w:t>
      </w:r>
    </w:p>
    <w:p w14:paraId="50024691">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财政拨款收入支出总体与上年相比，减少141.92万元，下降12.64%，主要原因是：本年度减少天山英才培养工程</w:t>
      </w:r>
      <w:r>
        <w:rPr>
          <w:rFonts w:hint="eastAsia" w:ascii="Times New Roman" w:hAnsi="Times New Roman" w:eastAsia="仿宋_GB2312" w:cs="Times New Roman"/>
          <w:sz w:val="32"/>
          <w:szCs w:val="32"/>
          <w:lang w:eastAsia="zh-CN"/>
        </w:rPr>
        <w:t>等</w:t>
      </w:r>
      <w:r>
        <w:rPr>
          <w:rFonts w:ascii="Times New Roman" w:hAnsi="Times New Roman" w:eastAsia="仿宋_GB2312" w:cs="Times New Roman"/>
          <w:sz w:val="32"/>
          <w:szCs w:val="32"/>
          <w:lang w:eastAsia="zh-CN"/>
        </w:rPr>
        <w:t>项目资金。与年初预算相比，年初预算数808.12万元，决算数981.12万元，预决算差异率21.41%，主要原因是：年中追加2024年自治区政府投资项目评审费，导致预决算存在差异。</w:t>
      </w:r>
    </w:p>
    <w:p w14:paraId="24CEE094">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五、一般公共预算财政拨款支出决算情况说明</w:t>
      </w:r>
    </w:p>
    <w:p w14:paraId="20F26A55">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（一）一般公共预算财政拨款支出决算总体情况</w:t>
      </w:r>
    </w:p>
    <w:p w14:paraId="23B431B2">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2024年度一般公共预算财政拨款支出952.22万元，占本年支出合计的58.48%。与上年相比，减少170.82万元，下降15.21%，主要原因是：本年度减少天山英才培养工程</w:t>
      </w:r>
      <w:r>
        <w:rPr>
          <w:rFonts w:hint="eastAsia" w:ascii="Times New Roman" w:hAnsi="Times New Roman" w:eastAsia="仿宋_GB2312" w:cs="Times New Roman"/>
          <w:sz w:val="32"/>
          <w:szCs w:val="32"/>
          <w:lang w:eastAsia="zh-CN"/>
        </w:rPr>
        <w:t>等</w:t>
      </w:r>
      <w:r>
        <w:rPr>
          <w:rFonts w:ascii="Times New Roman" w:hAnsi="Times New Roman" w:eastAsia="仿宋_GB2312" w:cs="Times New Roman"/>
          <w:sz w:val="32"/>
          <w:szCs w:val="32"/>
          <w:lang w:eastAsia="zh-CN"/>
        </w:rPr>
        <w:t>项目资金。与年初预算相比，年初预算数808.12万元，决算数952.22万元，预决算差异率17.83%，主要原因是：年中追加2024年自治区政府投资项目评审费，导致预决算存在差异。</w:t>
      </w:r>
    </w:p>
    <w:p w14:paraId="741A2E03">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（二）一般公共预算财政拨款支出决算结构情况</w:t>
      </w:r>
    </w:p>
    <w:p w14:paraId="23CC8424">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1.一般公共服务支出（类）708.20万元，占74.37%。</w:t>
      </w:r>
    </w:p>
    <w:p w14:paraId="6A1F3E6C">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2.社会保障和就业支出（类）122.75万元，占12.89%。</w:t>
      </w:r>
    </w:p>
    <w:p w14:paraId="68DFD581">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3.卫生健康支出（类）63.61万元，占6.68%。</w:t>
      </w:r>
    </w:p>
    <w:p w14:paraId="5C4A6BA1">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4.住房保障支出（类）57.67万元，占6.06%。</w:t>
      </w:r>
    </w:p>
    <w:p w14:paraId="4C45251E">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（三）一般公共预算财政拨款支出决算具体情况</w:t>
      </w:r>
    </w:p>
    <w:p w14:paraId="76044ACF">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一般公共服务支出（类）发展与改革事务（款）事业运行（项）：支出决算数为626.24万元，比上年决算减少81.60万元，下降11.53%，主要原因是：本年在职人员减少，相应人员经费较上年减少。</w:t>
      </w:r>
    </w:p>
    <w:p w14:paraId="785C9E14">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一般公共服务支出（类）发展与改革事务（款）其他发展与改革事务支出（项）：支出决算数为81.97万元，比上年决算减少82.15万元，下降50.05%，主要原因是：本年度减少天山英才培养工程</w:t>
      </w:r>
      <w:r>
        <w:rPr>
          <w:rFonts w:hint="eastAsia" w:ascii="Times New Roman" w:hAnsi="Times New Roman" w:eastAsia="仿宋_GB2312" w:cs="Times New Roman"/>
          <w:sz w:val="32"/>
          <w:szCs w:val="32"/>
          <w:lang w:eastAsia="zh-CN"/>
        </w:rPr>
        <w:t>等</w:t>
      </w:r>
      <w:bookmarkStart w:id="0" w:name="_GoBack"/>
      <w:bookmarkEnd w:id="0"/>
      <w:r>
        <w:rPr>
          <w:rFonts w:ascii="Times New Roman" w:hAnsi="Times New Roman" w:eastAsia="仿宋_GB2312" w:cs="Times New Roman"/>
          <w:sz w:val="32"/>
          <w:szCs w:val="32"/>
          <w:lang w:eastAsia="zh-CN"/>
        </w:rPr>
        <w:t>项目资金。</w:t>
      </w:r>
    </w:p>
    <w:p w14:paraId="06E07B1A">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社会保障和就业支出（类）行政事业单位养老支出（款）事业单位离退休（项）：支出决算数为38.70万元，比上年决算减少21.71万元，下降35.94%，主要原因是：本年抚恤金支出减少，退休经费支出减少。</w:t>
      </w:r>
    </w:p>
    <w:p w14:paraId="137F24C1">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基本养老保险缴费支出（项）：支出决算数为63.44万元，比上年决算减少7.47万元，下降10.53%，主要原因是：本年在职人员减少，单位基本养老保险缴费较上年减少。</w:t>
      </w:r>
    </w:p>
    <w:p w14:paraId="26250581">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职业年金缴费支出（项）：支出决算数为20.61万元，比上年决算增加18.30万元，增长792.21%，主要原因是：本年有新增退休人员，职业年金缴费支出增加。</w:t>
      </w:r>
    </w:p>
    <w:p w14:paraId="68AC8F41">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卫生健康支出（类）行政事业单位医疗（款）事业单位医疗（项）：支出决算数为34.51万元，比上年决算增加1.27万元，增长3.82%，主要原因是：本年在职人员工资基数调增，医疗缴费基数上涨，相应支出增加。</w:t>
      </w:r>
    </w:p>
    <w:p w14:paraId="48AC06D4">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卫生健康支出（类）行政事业单位医疗（款）公务员医疗补助（项）：支出决算数为29.10万元，比上年决算减少1.92万元，下降6.19%，主要原因是：本年在职人员减少，公务员医疗补助较上年减少。</w:t>
      </w:r>
    </w:p>
    <w:p w14:paraId="70117F63">
      <w:pPr>
        <w:numPr>
          <w:ilvl w:val="0"/>
          <w:numId w:val="1"/>
        </w:numPr>
        <w:spacing w:after="0"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住房保障支出（类）住房改革支出（款）住房公积金（项）：支出决算数为57.67万元，比上年决算增加4.49万元，增长8.44%，主要原因是：本年在职人员工资基数调增，公积金缴费基数上涨，相应支出增加。</w:t>
      </w:r>
    </w:p>
    <w:p w14:paraId="3FE4DA09">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六、一般公共预算财政拨款基本支出决算情况说明</w:t>
      </w:r>
    </w:p>
    <w:p w14:paraId="0AE5A54A">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基本支出870.26万元，其中：人员经费709.16万元，包括：基本工资、津贴补贴、奖金、绩效工资、机关事业单位基本养老保险缴费、职业年金缴费、职工基本医疗保险缴费、公务员医疗补助缴费、其他社会保障缴费、住房公积金、其他工资福利支出、退休费和奖励金。</w:t>
      </w:r>
    </w:p>
    <w:p w14:paraId="43EA78DC">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公用经费161.09万元，包括：办公费、咨询费、水费、电费、邮电费、取暖费、差旅费、劳务费、工会经费、福利费、其他交通费用和其他商品和服务支出。</w:t>
      </w:r>
    </w:p>
    <w:p w14:paraId="2E319B03">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七、政府性基金预算财政拨款收入支出决算情况说明</w:t>
      </w:r>
    </w:p>
    <w:p w14:paraId="6DB429D7">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本单位本年度无政府性基金预算财政拨款收入、支出及结转和结余，政府性基金预算财政拨款收入支出决算表为空表。</w:t>
      </w:r>
    </w:p>
    <w:p w14:paraId="3A7F9C94">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八、国有资本经营预算财政拨款收入支出决算情况说明</w:t>
      </w:r>
    </w:p>
    <w:p w14:paraId="4CA2B4A5">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本单位本年度无国有资本经营预算财政拨款收入、支出及结转和结余，国有资本经营预算财政拨款收入支出决算表为空表。</w:t>
      </w:r>
    </w:p>
    <w:p w14:paraId="06C3FCB1">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九、财政拨款“三公”经费支出决算情况说明</w:t>
      </w:r>
    </w:p>
    <w:p w14:paraId="4E5B21F5">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三公”经费支出0.00万元，与上年相比无变化，主要原因是：2023年与2024年均未安排财政拨款“三公”经费支出。其中：因公出国（境）费支出0.00万元,占0.00%，与上年相比无变化，主要原因是：2023年与2024年均未安排因公出国（境）费支出；公务用车购置及运行维护费支出0.00万元，占0.00%，与上年相比无变化，主要原因是：2023年与2024年均未安排公务用车购置及运行维护费支出；公务接待费支出0.00万元，占0.00%，与上年相比无变化，主要原因是：2023年与2024年均未安排公务接待费支出。</w:t>
      </w:r>
    </w:p>
    <w:p w14:paraId="65ED61CF">
      <w:pPr>
        <w:spacing w:after="0" w:line="560" w:lineRule="exact"/>
        <w:ind w:firstLine="640" w:firstLineChars="200"/>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具体情况如下：</w:t>
      </w:r>
    </w:p>
    <w:p w14:paraId="1D847268">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因公出国（境）费支出0.00万元，开支内容包括本单位无因公出国（境）费。单位全年安排的因公出国（境）团组0个，因公出国（境）0人次。</w:t>
      </w:r>
    </w:p>
    <w:p w14:paraId="4838C943">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一般业务用车，预算未安排公务用车运行维护费。</w:t>
      </w:r>
    </w:p>
    <w:p w14:paraId="29C58144">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公务接待费0.00万元，开支内容包括本单位无公务接待费。单位全年安排的国内公务接待0批次，0人次。</w:t>
      </w:r>
    </w:p>
    <w:p w14:paraId="11FC09C8">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与全年预算相比，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3496851">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十、其他重要事项的情况说明</w:t>
      </w:r>
    </w:p>
    <w:p w14:paraId="5F8F1E75">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（一）机关运行经费及公用经费支出情况</w:t>
      </w:r>
    </w:p>
    <w:p w14:paraId="549C3210">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2024年度新疆维吾尔自治区政府投资项目评审中心公用经费支出161.09万元，比上年减少1.34万元，下降0.82%，主要原因是：本年办公费、咨询费减少，导致公用经费支出减少。</w:t>
      </w:r>
    </w:p>
    <w:p w14:paraId="51A220E8">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（二）政府采购情况</w:t>
      </w:r>
    </w:p>
    <w:p w14:paraId="236EE9DC">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2024年度政府采购支出总额25.51万元，其中：政府采购货物支出1.99万元、政府采购工程支出0.00万元、政府采购服务支出23.52万元。</w:t>
      </w:r>
    </w:p>
    <w:p w14:paraId="27FC07F4">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授予中小企业合同金额24.87万元，占政府采购支出总额的97.49%，其中：授予小微企业合同金额24.87万元，占政府采购支出总额的97.49%。</w:t>
      </w:r>
    </w:p>
    <w:p w14:paraId="37CC87F3">
      <w:pPr>
        <w:spacing w:after="0" w:line="560" w:lineRule="exact"/>
        <w:ind w:firstLine="640" w:firstLineChars="200"/>
        <w:outlineLvl w:val="2"/>
        <w:rPr>
          <w:rFonts w:ascii="Times New Roman" w:hAnsi="Times New Roman" w:eastAsia="楷体_GB2312" w:cs="Times New Roman"/>
          <w:sz w:val="32"/>
          <w:szCs w:val="32"/>
          <w:lang w:eastAsia="zh-CN"/>
        </w:rPr>
      </w:pPr>
      <w:r>
        <w:rPr>
          <w:rFonts w:ascii="Times New Roman" w:hAnsi="Times New Roman" w:eastAsia="楷体_GB2312" w:cs="Times New Roman"/>
          <w:sz w:val="32"/>
          <w:szCs w:val="32"/>
          <w:lang w:eastAsia="zh-CN"/>
        </w:rPr>
        <w:t>（三）国有资产占用情况说明</w:t>
      </w:r>
    </w:p>
    <w:p w14:paraId="4B0FC997">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rPr>
        <w:t>截至2024年12月31日，房屋2,550.78平方米，价值201.62万元。</w:t>
      </w:r>
      <w:r>
        <w:rPr>
          <w:rFonts w:ascii="Times New Roman" w:hAnsi="Times New Roman" w:eastAsia="仿宋_GB2312" w:cs="Times New Roman"/>
          <w:sz w:val="32"/>
          <w:szCs w:val="32"/>
          <w:lang w:eastAsia="zh-CN"/>
        </w:rPr>
        <w:t>车辆2辆，价值33.71万元，其中：副部（省）级及以上领导用车0辆、主要负责人用车1辆、机要通信用车0辆、应急保障用车0辆、执法执勤用车0辆、特种专业技术用车0辆、离退休干部服务用车0辆、其他用车1辆，其他用车主要是：单位业务用车;单价100万元（含）以上设备（不含车辆）0台（套）。</w:t>
      </w:r>
    </w:p>
    <w:p w14:paraId="14B8958A">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十一、预算绩效的情况说明</w:t>
      </w:r>
    </w:p>
    <w:p w14:paraId="3566AAF9">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根据预算绩效管理要求，本单位2024年度预算绩效评价项目1个，全年预算数745.00万元，全年执行数673.67万元。预算绩效管理取得的成效：</w:t>
      </w:r>
      <w:r>
        <w:rPr>
          <w:rStyle w:val="15"/>
          <w:rFonts w:ascii="Times New Roman" w:hAnsi="Times New Roman" w:eastAsia="仿宋_GB2312" w:cs="Times New Roman"/>
          <w:b w:val="0"/>
          <w:spacing w:val="-4"/>
          <w:sz w:val="32"/>
          <w:szCs w:val="32"/>
          <w:lang w:eastAsia="zh-CN"/>
        </w:rPr>
        <w:t>一是加强预算和项目全生命周期管理，动态追踪资金使用情况，确保预算执行的规范性和透明度。二是深化预算绩效管理，通过绩效目标设定、运行监控和结果应用，强化资金使用的效益导向。三是科学设定绩效目标</w:t>
      </w:r>
      <w:r>
        <w:rPr>
          <w:rFonts w:ascii="Times New Roman" w:hAnsi="Times New Roman" w:eastAsia="仿宋_GB2312" w:cs="Times New Roman"/>
          <w:sz w:val="32"/>
          <w:szCs w:val="32"/>
          <w:lang w:eastAsia="zh-CN"/>
        </w:rPr>
        <w:t>。发现的问题及原因：</w:t>
      </w:r>
      <w:r>
        <w:rPr>
          <w:rStyle w:val="15"/>
          <w:rFonts w:ascii="Times New Roman" w:hAnsi="Times New Roman" w:eastAsia="仿宋_GB2312" w:cs="Times New Roman"/>
          <w:b w:val="0"/>
          <w:spacing w:val="-4"/>
          <w:sz w:val="32"/>
          <w:szCs w:val="32"/>
          <w:lang w:eastAsia="zh-CN"/>
        </w:rPr>
        <w:t>一是缺少带着问题去评价的意识。二是现场评价的工作量少，后续效益评价具体措施和方法较少</w:t>
      </w:r>
      <w:r>
        <w:rPr>
          <w:rFonts w:ascii="Times New Roman" w:hAnsi="Times New Roman" w:eastAsia="仿宋_GB2312" w:cs="Times New Roman"/>
          <w:sz w:val="32"/>
          <w:szCs w:val="32"/>
          <w:lang w:eastAsia="zh-CN"/>
        </w:rPr>
        <w:t>。下一步改进措施：</w:t>
      </w:r>
      <w:r>
        <w:rPr>
          <w:rStyle w:val="15"/>
          <w:rFonts w:ascii="Times New Roman" w:hAnsi="Times New Roman" w:eastAsia="仿宋_GB2312" w:cs="Times New Roman"/>
          <w:b w:val="0"/>
          <w:spacing w:val="-4"/>
          <w:sz w:val="32"/>
          <w:szCs w:val="32"/>
          <w:lang w:eastAsia="zh-CN"/>
        </w:rPr>
        <w:t>加强绩效管理重视程度，定期组织绩效管理培训。项目评价过程中进一步引入第三方评价机构，对部门自我审定时存在的问题进行指导，进一步破除自我审定的局限性，同时查漏补缺</w:t>
      </w:r>
      <w:r>
        <w:rPr>
          <w:rFonts w:ascii="Times New Roman" w:hAnsi="Times New Roman" w:eastAsia="仿宋_GB2312" w:cs="Times New Roman"/>
          <w:sz w:val="32"/>
          <w:szCs w:val="32"/>
          <w:lang w:eastAsia="zh-CN"/>
        </w:rPr>
        <w:t>。具体附项目支出绩效自评表。</w:t>
      </w:r>
    </w:p>
    <w:p w14:paraId="4DD6DF08">
      <w:pPr>
        <w:spacing w:after="0" w:line="560" w:lineRule="exact"/>
        <w:ind w:firstLine="640" w:firstLineChars="200"/>
        <w:outlineLvl w:val="1"/>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十二、其他需说明的事项</w:t>
      </w:r>
    </w:p>
    <w:p w14:paraId="19E3311A">
      <w:pPr>
        <w:spacing w:after="0" w:line="56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本单位无其他需说明的事项。</w:t>
      </w:r>
    </w:p>
    <w:p w14:paraId="29FD589F">
      <w:pPr>
        <w:spacing w:after="0" w:line="560" w:lineRule="exact"/>
        <w:ind w:firstLine="640" w:firstLineChars="200"/>
        <w:rPr>
          <w:rFonts w:ascii="Times New Roman" w:hAnsi="Times New Roman" w:eastAsia="仿宋_GB2312" w:cs="Times New Roman"/>
          <w:sz w:val="32"/>
          <w:szCs w:val="32"/>
          <w:lang w:eastAsia="zh-CN"/>
        </w:rPr>
      </w:pPr>
    </w:p>
    <w:p w14:paraId="693B461B">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14:paraId="4A36D572">
      <w:pPr>
        <w:spacing w:after="0" w:line="56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第三部分专业名词解释</w:t>
      </w:r>
    </w:p>
    <w:p w14:paraId="6D8DCE6E">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一、财政拨款收入：</w:t>
      </w:r>
      <w:r>
        <w:rPr>
          <w:rFonts w:ascii="Times New Roman" w:hAnsi="Times New Roman" w:eastAsia="仿宋_GB2312" w:cs="Times New Roman"/>
          <w:sz w:val="32"/>
          <w:szCs w:val="32"/>
          <w:lang w:eastAsia="zh-CN"/>
        </w:rPr>
        <w:t>指同级财政当年拨付的资金。</w:t>
      </w:r>
    </w:p>
    <w:p w14:paraId="7C2A4724">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二、上级补助收入：</w:t>
      </w:r>
      <w:r>
        <w:rPr>
          <w:rFonts w:ascii="Times New Roman" w:hAnsi="Times New Roman" w:eastAsia="仿宋_GB2312" w:cs="Times New Roman"/>
          <w:sz w:val="32"/>
          <w:szCs w:val="32"/>
          <w:lang w:eastAsia="zh-CN"/>
        </w:rPr>
        <w:t>指事业单位从主管部门和上级单位取得的非财政补助收入。</w:t>
      </w:r>
    </w:p>
    <w:p w14:paraId="35AF5431">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三、事业收入：</w:t>
      </w:r>
      <w:r>
        <w:rPr>
          <w:rFonts w:ascii="Times New Roman" w:hAnsi="Times New Roman" w:eastAsia="仿宋_GB2312" w:cs="Times New Roman"/>
          <w:sz w:val="32"/>
          <w:szCs w:val="32"/>
          <w:lang w:eastAsia="zh-CN"/>
        </w:rPr>
        <w:t>指事业单位开展专业业务活动及其辅助活动所取得的收入。</w:t>
      </w:r>
    </w:p>
    <w:p w14:paraId="5F29FE9C">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四、经营收入：</w:t>
      </w:r>
      <w:r>
        <w:rPr>
          <w:rFonts w:ascii="Times New Roman" w:hAnsi="Times New Roman" w:eastAsia="仿宋_GB2312" w:cs="Times New Roman"/>
          <w:sz w:val="32"/>
          <w:szCs w:val="32"/>
          <w:lang w:eastAsia="zh-CN"/>
        </w:rPr>
        <w:t>指事业单位在专业业务活动及其辅助活动之外开展非独立核算经营活动取得的收入。</w:t>
      </w:r>
    </w:p>
    <w:p w14:paraId="0400A679">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五、附属单位上缴收入：</w:t>
      </w:r>
      <w:r>
        <w:rPr>
          <w:rFonts w:ascii="Times New Roman" w:hAnsi="Times New Roman" w:eastAsia="仿宋_GB2312" w:cs="Times New Roman"/>
          <w:sz w:val="32"/>
          <w:szCs w:val="32"/>
          <w:lang w:eastAsia="zh-CN"/>
        </w:rPr>
        <w:t>指事业单位附属的独立核算单位按有关规定上缴的收入。</w:t>
      </w:r>
    </w:p>
    <w:p w14:paraId="4E38F073">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六、其他收入：</w:t>
      </w:r>
      <w:r>
        <w:rPr>
          <w:rFonts w:ascii="Times New Roman" w:hAnsi="Times New Roman" w:eastAsia="仿宋_GB2312" w:cs="Times New Roman"/>
          <w:sz w:val="32"/>
          <w:szCs w:val="32"/>
          <w:lang w:eastAsia="zh-CN"/>
        </w:rPr>
        <w:t>指除上述“财政拨款收入”、“事业收入”、“经营收入”、“附属单位上缴收入”等之外取得的收入。</w:t>
      </w:r>
    </w:p>
    <w:p w14:paraId="0EEFB089">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七、年初结转和结余：</w:t>
      </w:r>
      <w:r>
        <w:rPr>
          <w:rFonts w:ascii="Times New Roman" w:hAnsi="Times New Roman" w:eastAsia="仿宋_GB2312" w:cs="Times New Roman"/>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CABFD1E">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八、年末结转和结余：</w:t>
      </w:r>
      <w:r>
        <w:rPr>
          <w:rFonts w:ascii="Times New Roman" w:hAnsi="Times New Roman" w:eastAsia="仿宋_GB2312" w:cs="Times New Roman"/>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5D1CA16">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九、基本支出：</w:t>
      </w:r>
      <w:r>
        <w:rPr>
          <w:rFonts w:ascii="Times New Roman" w:hAnsi="Times New Roman" w:eastAsia="仿宋_GB2312" w:cs="Times New Roman"/>
          <w:sz w:val="32"/>
          <w:szCs w:val="32"/>
          <w:lang w:eastAsia="zh-CN"/>
        </w:rPr>
        <w:t>指为保障机构正常运转、完成日常工作任务而发生的人员支出和公用支出。</w:t>
      </w:r>
    </w:p>
    <w:p w14:paraId="523DD00D">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十、项目支出：</w:t>
      </w:r>
      <w:r>
        <w:rPr>
          <w:rFonts w:ascii="Times New Roman" w:hAnsi="Times New Roman" w:eastAsia="仿宋_GB2312" w:cs="Times New Roman"/>
          <w:sz w:val="32"/>
          <w:szCs w:val="32"/>
          <w:lang w:eastAsia="zh-CN"/>
        </w:rPr>
        <w:t>指在基本支出之外为完成特定行政任务和事业发展目标所发生的支出。</w:t>
      </w:r>
    </w:p>
    <w:p w14:paraId="4131397F">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十一、经营支出：</w:t>
      </w:r>
      <w:r>
        <w:rPr>
          <w:rFonts w:ascii="Times New Roman" w:hAnsi="Times New Roman" w:eastAsia="仿宋_GB2312" w:cs="Times New Roman"/>
          <w:sz w:val="32"/>
          <w:szCs w:val="32"/>
          <w:lang w:eastAsia="zh-CN"/>
        </w:rPr>
        <w:t>指事业单位在专业业务活动及其辅助活动之外开展非独立核算经营活动发生的支出。</w:t>
      </w:r>
    </w:p>
    <w:p w14:paraId="20789E88">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十二、对附属单位补助支出：</w:t>
      </w:r>
      <w:r>
        <w:rPr>
          <w:rFonts w:ascii="Times New Roman" w:hAnsi="Times New Roman" w:eastAsia="仿宋_GB2312" w:cs="Times New Roman"/>
          <w:sz w:val="32"/>
          <w:szCs w:val="32"/>
          <w:lang w:eastAsia="zh-CN"/>
        </w:rPr>
        <w:t>指事业单位发生的用非财政预算资金对附属单位的补助支出。</w:t>
      </w:r>
    </w:p>
    <w:p w14:paraId="32373D51">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十三、“三公”经费：</w:t>
      </w:r>
      <w:r>
        <w:rPr>
          <w:rFonts w:ascii="Times New Roman" w:hAnsi="Times New Roman" w:eastAsia="仿宋_GB2312" w:cs="Times New Roman"/>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C4F4FB">
      <w:pPr>
        <w:spacing w:after="0" w:line="560" w:lineRule="exact"/>
        <w:ind w:firstLine="643" w:firstLineChars="200"/>
        <w:rPr>
          <w:rFonts w:ascii="Times New Roman" w:hAnsi="Times New Roman" w:eastAsia="仿宋_GB2312" w:cs="Times New Roman"/>
          <w:sz w:val="32"/>
          <w:szCs w:val="32"/>
          <w:lang w:eastAsia="zh-CN"/>
        </w:rPr>
      </w:pPr>
      <w:r>
        <w:rPr>
          <w:rFonts w:ascii="Times New Roman" w:hAnsi="Times New Roman" w:eastAsia="仿宋_GB2312" w:cs="Times New Roman"/>
          <w:b/>
          <w:sz w:val="32"/>
          <w:szCs w:val="32"/>
          <w:lang w:eastAsia="zh-CN"/>
        </w:rPr>
        <w:t>十四、机关运行经费：</w:t>
      </w:r>
      <w:r>
        <w:rPr>
          <w:rFonts w:ascii="Times New Roman" w:hAnsi="Times New Roman" w:eastAsia="仿宋_GB2312" w:cs="Times New Roman"/>
          <w:sz w:val="32"/>
          <w:szCs w:val="32"/>
          <w:lang w:eastAsia="zh-CN"/>
        </w:rPr>
        <w:t>行政单位和参照公务员法管理的事业单位财政拨款基本支出中的公用经费支出。</w:t>
      </w:r>
    </w:p>
    <w:p w14:paraId="2765D37E">
      <w:pPr>
        <w:spacing w:line="560" w:lineRule="exact"/>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br w:type="page"/>
      </w:r>
    </w:p>
    <w:p w14:paraId="0E8154AD">
      <w:pPr>
        <w:spacing w:after="0" w:line="560" w:lineRule="exact"/>
        <w:jc w:val="center"/>
        <w:outlineLvl w:val="0"/>
        <w:rPr>
          <w:rFonts w:ascii="Times New Roman" w:hAnsi="Times New Roman" w:eastAsia="黑体" w:cs="Times New Roman"/>
          <w:sz w:val="32"/>
          <w:szCs w:val="32"/>
          <w:lang w:eastAsia="zh-CN"/>
        </w:rPr>
      </w:pPr>
      <w:r>
        <w:rPr>
          <w:rFonts w:ascii="Times New Roman" w:hAnsi="Times New Roman" w:eastAsia="黑体" w:cs="Times New Roman"/>
          <w:sz w:val="32"/>
          <w:szCs w:val="32"/>
          <w:lang w:eastAsia="zh-CN"/>
        </w:rPr>
        <w:t>第四部分部门决算报表（见附表）</w:t>
      </w:r>
    </w:p>
    <w:p w14:paraId="7B5F9CF7">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一、《收入支出决算总表》</w:t>
      </w:r>
    </w:p>
    <w:p w14:paraId="2E9BC458">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二、《收入决算表》</w:t>
      </w:r>
    </w:p>
    <w:p w14:paraId="03CB0F93">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三、《支出决算表》</w:t>
      </w:r>
    </w:p>
    <w:p w14:paraId="5117B7A4">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四、《财政拨款收入支出决算总表》</w:t>
      </w:r>
    </w:p>
    <w:p w14:paraId="5EAD0058">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五、《一般公共预算财政拨款支出决算表》</w:t>
      </w:r>
    </w:p>
    <w:p w14:paraId="6D9BEE58">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六、《一般公共预算财政拨款基本支出决算表》</w:t>
      </w:r>
    </w:p>
    <w:p w14:paraId="2E10BC08">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七、《政府性基金预算财政拨款收入支出决算表》</w:t>
      </w:r>
    </w:p>
    <w:p w14:paraId="7AF247A9">
      <w:pPr>
        <w:spacing w:after="0" w:line="560" w:lineRule="exact"/>
        <w:ind w:firstLine="640" w:firstLineChars="200"/>
        <w:outlineLvl w:val="1"/>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八、《国有资本经营预算财政拨款收入支出决算表》</w:t>
      </w:r>
    </w:p>
    <w:p w14:paraId="3EDAEE23">
      <w:pPr>
        <w:spacing w:after="0" w:line="560" w:lineRule="exact"/>
        <w:ind w:firstLine="640" w:firstLineChars="200"/>
        <w:outlineLvl w:val="1"/>
        <w:rPr>
          <w:rFonts w:ascii="仿宋_GB2312" w:eastAsia="仿宋_GB2312"/>
          <w:sz w:val="32"/>
          <w:szCs w:val="32"/>
          <w:lang w:eastAsia="zh-CN"/>
        </w:rPr>
      </w:pPr>
      <w:r>
        <w:rPr>
          <w:rFonts w:ascii="Times New Roman" w:hAnsi="Times New Roman" w:eastAsia="仿宋_GB2312" w:cs="Times New Roman"/>
          <w:sz w:val="32"/>
          <w:szCs w:val="32"/>
          <w:lang w:eastAsia="zh-CN"/>
        </w:rPr>
        <w:t>九、《财政拨款“三公”经费</w:t>
      </w:r>
      <w:r>
        <w:rPr>
          <w:rFonts w:hint="eastAsia" w:ascii="仿宋_GB2312" w:eastAsia="仿宋_GB2312"/>
          <w:sz w:val="32"/>
          <w:szCs w:val="32"/>
          <w:lang w:eastAsia="zh-CN"/>
        </w:rPr>
        <w:t>支出决算表》</w:t>
      </w:r>
    </w:p>
    <w:sectPr>
      <w:footerReference r:id="rId5" w:type="default"/>
      <w:pgSz w:w="12240" w:h="15840"/>
      <w:pgMar w:top="2098" w:right="1531" w:bottom="1985" w:left="1531" w:header="720" w:footer="720" w:gutter="0"/>
      <w:pgNumType w:fmt="numberInDash"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611BF">
    <w:pPr>
      <w:pStyle w:val="8"/>
    </w:pPr>
    <w:r>
      <w:rPr>
        <w:sz w:val="18"/>
      </w:rP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3A737BB">
                <w:pPr>
                  <w:pStyle w:val="8"/>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hdrShapeDefaults>
    <o:shapelayout v:ext="edit">
      <o:idmap v:ext="edit" data="3,4"/>
    </o:shapelayout>
  </w:hdrShapeDefault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C53F0E"/>
    <w:rsid w:val="001C1457"/>
    <w:rsid w:val="004B33C1"/>
    <w:rsid w:val="00662B0B"/>
    <w:rsid w:val="007617C1"/>
    <w:rsid w:val="00C53F0E"/>
    <w:rsid w:val="2C617230"/>
    <w:rsid w:val="5BD7B666"/>
    <w:rsid w:val="654A71D3"/>
    <w:rsid w:val="683F1427"/>
    <w:rsid w:val="74C01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semiHidden/>
    <w:unhideWhenUsed/>
    <w:qFormat/>
    <w:uiPriority w:val="99"/>
    <w:pPr>
      <w:tabs>
        <w:tab w:val="center" w:pos="4153"/>
        <w:tab w:val="right" w:pos="8306"/>
      </w:tabs>
      <w:snapToGrid w:val="0"/>
      <w:jc w:val="left"/>
    </w:pPr>
    <w:rPr>
      <w:sz w:val="18"/>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859</Words>
  <Characters>868</Characters>
  <Lines>43</Lines>
  <Paragraphs>12</Paragraphs>
  <TotalTime>1</TotalTime>
  <ScaleCrop>false</ScaleCrop>
  <LinksUpToDate>false</LinksUpToDate>
  <CharactersWithSpaces>870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2025-08-18T17:54:00Z</dcterms:created>
  <dc:creator>admin</dc:creator>
  <cp:lastModifiedBy>树杪百重泉</cp:lastModifiedBy>
  <dcterms:modified xsi:type="dcterms:W3CDTF">2025-08-28T09:15:59Z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eyJoZGlkIjoiMTRhNzZjNzZhZGYwNzNjOWNkMjhkNDljZjZjZTk0MDMiLCJ1c2VySWQiOiIyNjkxMDIzNjUifQ==</vt:lpwstr>
  </property>
  <property fmtid="{D5CDD505-2E9C-101B-9397-08002B2CF9AE}" pid="3" name="KSOProductBuildVer">
    <vt:lpwstr>2052-12.1.0.22529</vt:lpwstr>
  </property>
  <property fmtid="{D5CDD505-2E9C-101B-9397-08002B2CF9AE}" pid="4" name="ICV">
    <vt:lpwstr>E970CEF56F0849E0A97E2544102E892C_12</vt:lpwstr>
  </property>
</Properties>
</file>