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240" w:lineRule="auto"/>
        <w:jc w:val="center"/>
        <w:outlineLvl w:val="0"/>
        <w:rPr>
          <w:rFonts w:hint="eastAsia" w:ascii="黑体" w:eastAsia="黑体"/>
          <w:sz w:val="44"/>
          <w:szCs w:val="44"/>
          <w:lang w:eastAsia="zh-CN"/>
        </w:rPr>
      </w:pPr>
      <w:r>
        <w:rPr>
          <w:rFonts w:ascii="宋体" w:eastAsia="黑体"/>
          <w:sz w:val="44"/>
          <w:szCs w:val="44"/>
          <w:lang w:eastAsia="zh-CN"/>
        </w:rPr>
        <w:t>新疆维吾尔自治区</w:t>
      </w:r>
      <w:r>
        <w:rPr>
          <w:rFonts w:hint="eastAsia" w:ascii="宋体" w:eastAsia="黑体"/>
          <w:sz w:val="44"/>
          <w:szCs w:val="44"/>
          <w:lang w:eastAsia="zh-CN"/>
        </w:rPr>
        <w:t>数据资源和政务服务中心（原</w:t>
      </w:r>
      <w:r>
        <w:rPr>
          <w:rFonts w:ascii="宋体" w:eastAsia="黑体"/>
          <w:sz w:val="44"/>
          <w:szCs w:val="44"/>
          <w:lang w:eastAsia="zh-CN"/>
        </w:rPr>
        <w:t>信息中心</w:t>
      </w:r>
      <w:r>
        <w:rPr>
          <w:rFonts w:hint="eastAsia" w:ascii="宋体" w:eastAsia="黑体"/>
          <w:sz w:val="44"/>
          <w:szCs w:val="44"/>
          <w:lang w:eastAsia="zh-CN"/>
        </w:rPr>
        <w:t>）</w:t>
      </w:r>
      <w:r>
        <w:rPr>
          <w:rFonts w:ascii="黑体" w:eastAsia="黑体"/>
          <w:sz w:val="44"/>
          <w:szCs w:val="44"/>
          <w:lang w:eastAsia="zh-CN"/>
        </w:rPr>
        <w:t>2024年度部门决算</w:t>
      </w:r>
    </w:p>
    <w:p>
      <w:pPr>
        <w:spacing w:after="0" w:line="240" w:lineRule="auto"/>
        <w:jc w:val="center"/>
        <w:outlineLvl w:val="0"/>
        <w:rPr>
          <w:rFonts w:ascii="宋体" w:eastAsia="黑体"/>
          <w:sz w:val="44"/>
          <w:szCs w:val="44"/>
          <w:lang w:eastAsia="zh-CN"/>
        </w:rPr>
      </w:pPr>
      <w:r>
        <w:rPr>
          <w:rFonts w:ascii="黑体" w:eastAsia="黑体"/>
          <w:sz w:val="44"/>
          <w:szCs w:val="44"/>
          <w:lang w:eastAsia="zh-CN"/>
        </w:rPr>
        <w:t>公开说明</w:t>
      </w:r>
    </w:p>
    <w:p>
      <w:pPr>
        <w:spacing w:after="0" w:line="560" w:lineRule="exact"/>
        <w:jc w:val="center"/>
        <w:rPr>
          <w:rFonts w:hint="eastAsia" w:ascii="黑体" w:hAnsi="黑体" w:eastAsia="黑体"/>
          <w:sz w:val="32"/>
          <w:szCs w:val="32"/>
          <w:lang w:eastAsia="zh-CN"/>
        </w:rPr>
        <w:sectPr>
          <w:headerReference r:id="rId5" w:type="default"/>
          <w:footerReference r:id="rId6" w:type="default"/>
          <w:pgSz w:w="12240" w:h="15840"/>
          <w:pgMar w:top="2098" w:right="1531" w:bottom="1985" w:left="1531" w:header="720" w:footer="720" w:gutter="0"/>
          <w:cols w:space="720" w:num="1"/>
          <w:docGrid w:linePitch="299" w:charSpace="0"/>
        </w:sectPr>
      </w:pPr>
    </w:p>
    <w:p>
      <w:pPr>
        <w:spacing w:after="0" w:line="560" w:lineRule="exact"/>
        <w:jc w:val="center"/>
        <w:rPr>
          <w:rFonts w:hint="eastAsia" w:ascii="黑体" w:hAnsi="黑体" w:eastAsia="黑体"/>
          <w:sz w:val="32"/>
          <w:szCs w:val="32"/>
          <w:lang w:eastAsia="zh-CN"/>
        </w:rPr>
      </w:pPr>
      <w:r>
        <w:rPr>
          <w:rFonts w:hint="eastAsia" w:ascii="黑体" w:hAnsi="黑体" w:eastAsia="黑体"/>
          <w:sz w:val="32"/>
          <w:szCs w:val="32"/>
          <w:lang w:eastAsia="zh-CN"/>
        </w:rPr>
        <w:t>目录</w:t>
      </w:r>
    </w:p>
    <w:p>
      <w:pPr>
        <w:spacing w:after="0" w:line="560" w:lineRule="exact"/>
        <w:rPr>
          <w:rFonts w:hint="eastAsia" w:ascii="黑体" w:hAnsi="黑体" w:eastAsia="黑体"/>
          <w:sz w:val="32"/>
          <w:szCs w:val="32"/>
          <w:lang w:eastAsia="zh-CN"/>
        </w:rPr>
      </w:pPr>
      <w:r>
        <w:rPr>
          <w:rFonts w:hint="eastAsia" w:ascii="黑体" w:hAnsi="黑体" w:eastAsia="黑体"/>
          <w:sz w:val="32"/>
          <w:szCs w:val="32"/>
          <w:lang w:eastAsia="zh-CN"/>
        </w:rPr>
        <w:t>第一部分单位概况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一、主要职能</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二、机构设置及人员情况</w:t>
      </w:r>
    </w:p>
    <w:p>
      <w:pPr>
        <w:spacing w:after="0" w:line="560" w:lineRule="exact"/>
        <w:rPr>
          <w:rFonts w:hint="eastAsia" w:ascii="黑体" w:hAnsi="黑体" w:eastAsia="黑体"/>
          <w:sz w:val="32"/>
          <w:szCs w:val="32"/>
          <w:lang w:eastAsia="zh-CN"/>
        </w:rPr>
      </w:pPr>
      <w:r>
        <w:rPr>
          <w:rFonts w:hint="eastAsia" w:ascii="黑体" w:hAnsi="黑体" w:eastAsia="黑体"/>
          <w:sz w:val="32"/>
          <w:szCs w:val="32"/>
          <w:lang w:eastAsia="zh-CN"/>
        </w:rPr>
        <w:t>第二部分部门决算情况说明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一、收入支出决算总体情况说明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二、收入决算情况说明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三、支出决算情况说明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四、财政拨款收入支出决算总体情况说明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五、一般公共预算财政拨款支出决算情况说明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（一）一般公共预算财政拨款支出决算总体情况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（二）一般公共预算财政拨款支出决算结构情况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（三）一般公共预算财政拨款支出决算具体情况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六、一般公共预算财政拨款基本支出决算情况说明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七、政府性基金预算财政拨款收入支出决算情况说明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八、国有资本经营预算财政拨款收入支出决算情况说明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九、财政拨款“三公”经费支出决算情况说明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十、其他重要事项的情况说明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（一）机关运行经费及公用经费支出情况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（二）政府采购情况</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（三）国有资产占用情况说明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十一、预算绩效的情况说明</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十二、其他需说明的事项</w:t>
      </w:r>
    </w:p>
    <w:p>
      <w:pPr>
        <w:spacing w:after="0" w:line="560" w:lineRule="exact"/>
        <w:rPr>
          <w:rFonts w:hint="eastAsia" w:ascii="黑体" w:hAnsi="黑体" w:eastAsia="黑体"/>
          <w:sz w:val="32"/>
          <w:szCs w:val="32"/>
          <w:lang w:eastAsia="zh-CN"/>
        </w:rPr>
      </w:pPr>
      <w:r>
        <w:rPr>
          <w:rFonts w:hint="eastAsia" w:ascii="黑体" w:hAnsi="黑体" w:eastAsia="黑体"/>
          <w:sz w:val="32"/>
          <w:szCs w:val="32"/>
          <w:lang w:eastAsia="zh-CN"/>
        </w:rPr>
        <w:t>第三部分专业名词解释</w:t>
      </w:r>
    </w:p>
    <w:p>
      <w:pPr>
        <w:spacing w:after="0" w:line="560" w:lineRule="exact"/>
        <w:rPr>
          <w:rFonts w:hint="eastAsia" w:ascii="黑体" w:hAnsi="黑体" w:eastAsia="黑体"/>
          <w:sz w:val="32"/>
          <w:szCs w:val="32"/>
          <w:lang w:eastAsia="zh-CN"/>
        </w:rPr>
      </w:pPr>
      <w:r>
        <w:rPr>
          <w:rFonts w:hint="eastAsia" w:ascii="黑体" w:hAnsi="黑体" w:eastAsia="黑体"/>
          <w:sz w:val="32"/>
          <w:szCs w:val="32"/>
          <w:lang w:eastAsia="zh-CN"/>
        </w:rPr>
        <w:t>第四部分部门决算报表（见附表）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一、《收入支出决算总表》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二、《收入决算表》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三、《支出决算表》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四、《财政拨款收入支出决算总表》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五、《一般公共预算财政拨款支出决算表》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六、《一般公共预算财政拨款基本支出决算表》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七、《政府性基金预算财政拨款收入支出决算表》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八、《国有资本经营预算财政拨款收入支出决算表》</w:t>
      </w:r>
    </w:p>
    <w:p>
      <w:p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九、《财政拨款“三公”经费支出决算表》</w:t>
      </w:r>
    </w:p>
    <w:p>
      <w:pPr>
        <w:spacing w:line="560" w:lineRule="exact"/>
        <w:rPr>
          <w:rFonts w:hint="eastAsia" w:ascii="仿宋_GB2312" w:eastAsia="仿宋_GB2312"/>
          <w:sz w:val="32"/>
          <w:szCs w:val="32"/>
          <w:lang w:eastAsia="zh-CN"/>
        </w:rPr>
      </w:pPr>
      <w:r>
        <w:rPr>
          <w:rFonts w:hint="eastAsia" w:ascii="仿宋_GB2312" w:eastAsia="仿宋_GB2312"/>
          <w:sz w:val="32"/>
          <w:szCs w:val="32"/>
          <w:lang w:eastAsia="zh-CN"/>
        </w:rPr>
        <w:br w:type="page"/>
      </w:r>
    </w:p>
    <w:p>
      <w:pPr>
        <w:spacing w:after="0" w:line="560" w:lineRule="exact"/>
        <w:jc w:val="center"/>
        <w:outlineLvl w:val="0"/>
        <w:rPr>
          <w:rFonts w:hint="eastAsia" w:ascii="黑体" w:hAnsi="黑体" w:eastAsia="黑体"/>
          <w:sz w:val="32"/>
          <w:szCs w:val="32"/>
          <w:lang w:eastAsia="zh-CN"/>
        </w:rPr>
      </w:pPr>
      <w:r>
        <w:rPr>
          <w:rFonts w:hint="eastAsia" w:ascii="黑体" w:hAnsi="黑体" w:eastAsia="黑体"/>
          <w:sz w:val="32"/>
          <w:szCs w:val="32"/>
          <w:lang w:eastAsia="zh-CN"/>
        </w:rPr>
        <w:t>第一部分单位概况</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一、主要职能</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 xml:space="preserve">承担全区经济信息资源开发利用的规划和管理，为自治区党委、政府及经济综合管理部门宏观经济决策提供信息服务；  </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承担全区电子政务外网和跨部门业务应用系统的规划、建设、运行、维护及管理工作，为党政机关、事业单位提供信息化技术支持与服务。</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二、机构设置及人员情况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新疆维吾尔自治区数据资源和政务服务中心（原信息中心）2024年度，实有人数117人，其中：在职人员54人，减少6人；离休人员0人，较上年无变化；退休人员63人，增加5人。</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新疆维吾尔自治区数据资源和政务服务中心（原信息中心）无下属预算单位，下设8个处室，分别是：办公室、综合部、网络管理部、网络安全部、应用开发部、公共技术部、经济预测部、信息资源部。</w:t>
      </w:r>
    </w:p>
    <w:p>
      <w:pPr>
        <w:spacing w:line="560" w:lineRule="exact"/>
        <w:rPr>
          <w:rFonts w:hint="eastAsia" w:ascii="仿宋_GB2312" w:eastAsia="仿宋_GB2312"/>
          <w:sz w:val="32"/>
          <w:szCs w:val="32"/>
          <w:lang w:eastAsia="zh-CN"/>
        </w:rPr>
      </w:pPr>
      <w:r>
        <w:rPr>
          <w:rFonts w:hint="eastAsia" w:ascii="仿宋_GB2312" w:eastAsia="仿宋_GB2312"/>
          <w:sz w:val="32"/>
          <w:szCs w:val="32"/>
          <w:lang w:eastAsia="zh-CN"/>
        </w:rPr>
        <w:br w:type="page"/>
      </w:r>
    </w:p>
    <w:p>
      <w:pPr>
        <w:spacing w:after="0" w:line="560" w:lineRule="exact"/>
        <w:jc w:val="center"/>
        <w:outlineLvl w:val="0"/>
        <w:rPr>
          <w:rFonts w:hint="eastAsia" w:ascii="黑体" w:hAnsi="黑体" w:eastAsia="黑体"/>
          <w:sz w:val="32"/>
          <w:szCs w:val="32"/>
          <w:lang w:eastAsia="zh-CN"/>
        </w:rPr>
      </w:pPr>
      <w:r>
        <w:rPr>
          <w:rFonts w:hint="eastAsia" w:ascii="黑体" w:hAnsi="黑体" w:eastAsia="黑体"/>
          <w:sz w:val="32"/>
          <w:szCs w:val="32"/>
          <w:lang w:eastAsia="zh-CN"/>
        </w:rPr>
        <w:t>第二部分部门决算情况说明</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一、收入支出决算总体情况说明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2024年度收入总计12,981.07万元，其中：本年收入合计12,895.72万元，使用非财政拨款结余（含专用结余）112.02万元，年初结转和结余-26.67万元。</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2024年度支出总计12,981.07万元，其中：本年支出合计13,007.73万元，结余分配0.00万元，年末结转和结余-26.67万元。</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收入支出总体与上年相比，增加9,185.32万元，增长241.99%，主要原因是：本年电子政务信息网络平台运营费用较上年增加，新增新财建〔2024〕74号发改委安排的基建项目。</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二、收入决算情况说明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年收入12,895.72万元，其中：财政拨款收入12,869.27万元,占99.79%；上级补助收入0.00万元,占0.00%；事业收入0.00万元，占0.00%；经营收入0.00万元,占0.00%；附属单位上缴收入0.00万元，占0.00%；其他收入26.45万元，占0.21%。</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三、支出决算情况说明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本年支出13,007.73万元，其中：基本支出1,514.23万元，占11.64%；项目支出11,493.51万元，占88.36%；上缴上级支出0.00万元，占0.00%；经营支出0.00万元，占0.00%；对附属单位补助支出0.00万元，占0.00%。</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四、财政拨款收入支出决算总体情况说明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财政拨款收入总计12,869.27万元，其中：年初财政拨款结转和结余0.00万元，本年财政拨款收入12,869.27万元。财政拨款支出总计12,869.27万元，其中：年末财政拨款结转和结余0.00万元，本年财政拨款支出12,869.27万元。</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财政拨款收入支出总体与上年相比，增加9,178.24万元，增长248.66%，主要原因是：本年电子政务信息网络平台运营费用较上年增加，新增新财建〔2024〕74号发改委安排的基建项目。与年初预算相比，年初预算数3,446.75万元，决算数12,869.27万元，预决算差异率273.37%，主要原因是：年中追加新财建〔2024〕74号发改委安排的基建项目，导致预决算存在差异。</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五、一般公共预算财政拨款支出决算情况说明</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（一）一般公共预算财政拨款支出决算总体情况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一般公共预算财政拨款支出12,869.27万元，占本年支出合计的98.94%。与上年相比，增加9,178.24万元，增长248.66%，主要原因是：本年电子政务信息网络平台运营费用较上年增加，新增新财建〔2024〕74号发改委安排的基建项目。与年初预算相比，年初预算数3,446.75万元，决算数12,869.27万元，预决算差异率273.37%，主要原因是：年中追加新财建〔2024〕74号发改委安排的基建项目，导致预决算存在差异。</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（二）一般公共预算财政拨款支出决算结构情况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1.一般公共服务支出（类）3,084.53万元，占23.97%。</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2.社会保障和就业支出（类）272.53万元，占2.12%。</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3.卫生健康支出（类）103.62万元，占0.81%。</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4.住房保障支出（类）85.75万元，占0.67%。</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5.其他支出（类）9,322.84万元，占72.44%。</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（三）一般公共预算财政拨款支出决算具体情况</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般公共服务支出（类）发展与改革事务（款）事业运行（项）：支出决算数为913.86万元，比上年决算减少1,657.99万元，下降64.47%，主要原因是：本年在职人员减少，相应人员经费较上年减少；本年减少维修维护费公用经费支出。</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一般公共服务支出（类）统计信息事务（款）信息事务（项）：支出决算数为2,170.67万元，比上年决算增加1,470.67万元，增长210.10%，主要原因是：本年电子政务信息网络平台运营费用较上年增加。</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社会保障和就业支出（类）行政事业单位养老支出（款）事业单位离退休（项）：支出决算数为132.06万元，比上年决算增加20.63万元，增长18.51%，主要原因是：本年退休人员增加，退休费支出增加。</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社会保障和就业支出（类）行政事业单位养老支出（款）机关事业单位基本养老保险缴费支出（项）：支出决算数为114.34万元，比上年决算增加4.78万元，增长4.36%，主要原因是：本年在职人员工资基数调增，养老缴费基数上涨，相应支出增加。</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社会保障和就业支出（类）行政事业单位养老支出（款）机关事业单位职业年金缴费支出（项）：支出决算数为26.14万元，比上年决算增加9.39万元，增长56.06%，主要原因是：本年新增退休人员，职业年金缴费支出增加。</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卫生健康支出（类）行政事业单位医疗（款）事业单位医疗（项）：支出决算数为53.59万元，比上年决算增加2.24万元，增长4.36%，主要原因是：本年在职人员工资基数调增，医疗缴费基数上涨，相应支出增加。</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卫生健康支出（类）行政事业单位医疗（款）公务员医疗补助（项）：支出决算数为50.02万元，比上年决算增加2.09万元，增长4.36%，主要原因是：本年在职人员工资基数调增，医疗缴费基数上涨，相应支出增加。</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住房保障支出（类）住房改革支出（款）住房公积金（项）：支出决算数为85.75万元，比上年决算增加3.58万元，增长4.36%，主要原因是：本年在职人员工资基数调增，公积金缴费基数上涨，相应支出增加。</w:t>
      </w:r>
    </w:p>
    <w:p>
      <w:pPr>
        <w:numPr>
          <w:ilvl w:val="0"/>
          <w:numId w:val="1"/>
        </w:numPr>
        <w:spacing w:after="0" w:line="560" w:lineRule="exact"/>
        <w:rPr>
          <w:rFonts w:hint="eastAsia" w:ascii="仿宋_GB2312" w:eastAsia="仿宋_GB2312"/>
          <w:sz w:val="32"/>
          <w:szCs w:val="32"/>
          <w:lang w:eastAsia="zh-CN"/>
        </w:rPr>
      </w:pPr>
      <w:r>
        <w:rPr>
          <w:rFonts w:hint="eastAsia" w:ascii="仿宋_GB2312" w:eastAsia="仿宋_GB2312"/>
          <w:sz w:val="32"/>
          <w:szCs w:val="32"/>
          <w:lang w:eastAsia="zh-CN"/>
        </w:rPr>
        <w:t>其他支出（类）其他支出（款）其他支出（项）：支出决算数为9,322.84万元，比上年决算增加9,322.84万元，增长100.00%，主要原因是：本年新增新财建〔2024〕74号发改委安排的基建项目。</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六、一般公共预算财政拨款基本支出决算情况说明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一般公共预算财政拨款基本支出1,375.76万元，其中：人员经费1,241.82万元，包括：基本工资、津贴补贴、奖金、绩效工资、机关事业单位基本养老保险缴费、职业年金缴费、职工基本医疗保险缴费、公务员医疗补助缴费、其他社会保障缴费、住房公积金、退休费和其他对个人和家庭的补助。</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公用经费133.94万元，包括：办公费、印刷费、水费、电费、邮电费、取暖费、物业管理费、差旅费、劳务费、工会经费、福利费、公务用车运行维护费和其他商品和服务支出。</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七、政府性基金预算财政拨款收入支出决算情况说明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本单位本年度无政府性基金预算财政拨款收入、支出及结转和结余，政府性基金预算财政拨款收入支出决算表为空表。</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八、国有资本经营预算财政拨款收入支出决算情况说明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本单位本年度无国有资本经营预算财政拨款收入、支出及结转和结余，国有资本经营预算财政拨款收入支出决算表为空表。</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九、财政拨款“三公”经费支出决算情况说明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财政拨款“三公”经费支出5.62万元，与上年相比无变化，主要原因是：本年财政拨款“三公”经费与上年一致无变化。其中：因公出国（境）费支出0.00万元,占0.00%，与上年相比无变化，主要原因是：2023年与2024年均未安排因公出国（境）费支出；公务用车购置及运行维护费支出5.62万元，占100.00%，与上年相比无变化，主要原因是：本年公务用车购置及运行维护费与上年一致无变化；公务接待费支出0.00万元，占0.00%，与上年相比无变化，主要原因是：2023年与2024年均未安排公务接待费支出。</w:t>
      </w:r>
    </w:p>
    <w:p>
      <w:pPr>
        <w:spacing w:after="0"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具体情况如下：</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因公出国（境）费支出0.00万元，开支内容包括本单位无因公出国（境）费。单位全年安排的因公出国（境）团组0个，因公出国（境）0人次。</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公务用车购置及运行维护费5.62万元，其中：公务用车购置费0.00万元，公务用车运行维护费5.62万元。公务用车运行维护费开支内容包括车辆加油费、维修费、保险费、审车费。公务用车购置数0辆，公务用车保有量4辆。国有资产占用情况中固定资产车辆4辆，与公务用车保有量差异原因是：本单位固定资产车辆与公务用车保有量一致无差异。</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公务接待费0.00万元，开支内容包括本单位无公务接待费。单位全年安排的国内公务接待0批次，0人次。</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与全年预算相比，财政拨款“三公”经费支出全年预算数5.62万元，决算数5.62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5.62万元，决算数5.62万元，预决算差异率0.00%，主要原因是：严格按照预算执行，预决算无差异；公务接待费全年预算数0.00万元，决算数0.00万元，预决算差异率0.00%，主要原因是：本单位无公务接待费。</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十、其他重要事项的情况说明</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（一）机关运行经费及公用经费支出情况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2024年度新疆维吾尔自治区信息中心公用经费支出133.94万元，比上年减少1,612.44万元，下降92.33%，主要原因是：本年减少维修维护费，导致公用经费支出减少。</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（二）政府采购情况</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2024年度政府采购支出总额8,628.68万元，其中：政府采购货物支出0.00万元、政府采购工程支出0.00万元、政府采购服务支出8,628.68万元。</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授予中小企业合同金额529.80万元，占政府采购支出总额的6.14%，其中：授予小微企业合同金额529.80万元，占政府采购支出总额的6.14%。</w:t>
      </w:r>
    </w:p>
    <w:p>
      <w:pPr>
        <w:spacing w:after="0" w:line="560" w:lineRule="exact"/>
        <w:ind w:firstLine="640" w:firstLineChars="200"/>
        <w:outlineLvl w:val="2"/>
        <w:rPr>
          <w:rFonts w:hint="eastAsia" w:ascii="楷体_GB2312" w:eastAsia="楷体_GB2312"/>
          <w:sz w:val="32"/>
          <w:szCs w:val="32"/>
          <w:lang w:eastAsia="zh-CN"/>
        </w:rPr>
      </w:pPr>
      <w:r>
        <w:rPr>
          <w:rFonts w:hint="eastAsia" w:ascii="楷体_GB2312" w:eastAsia="楷体_GB2312"/>
          <w:sz w:val="32"/>
          <w:szCs w:val="32"/>
          <w:lang w:eastAsia="zh-CN"/>
        </w:rPr>
        <w:t>（三）国有资产占用情况说明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rPr>
        <w:t>截至2024年12月31日，房屋10,988.00平方米，价值1,895.55万元。</w:t>
      </w:r>
      <w:r>
        <w:rPr>
          <w:rFonts w:hint="eastAsia" w:ascii="仿宋_GB2312" w:eastAsia="仿宋_GB2312"/>
          <w:sz w:val="32"/>
          <w:szCs w:val="32"/>
          <w:lang w:eastAsia="zh-CN"/>
        </w:rPr>
        <w:t>车辆4辆，价值119.01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11台（套）。</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十一、预算绩效的情况说明</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根据预算绩效管理要求，本单位2024年度预算绩效评价项目2个，全年预算数850.00万元，全年执行数834.62万元。预算绩效管理取得的成效：</w:t>
      </w:r>
      <w:r>
        <w:rPr>
          <w:rStyle w:val="15"/>
          <w:rFonts w:hint="eastAsia" w:ascii="仿宋_GB2312" w:eastAsia="仿宋_GB2312"/>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hint="eastAsia" w:ascii="仿宋_GB2312" w:eastAsia="仿宋_GB2312"/>
          <w:sz w:val="32"/>
          <w:szCs w:val="32"/>
          <w:lang w:eastAsia="zh-CN"/>
        </w:rPr>
        <w:t>。发现的问题及原因：</w:t>
      </w:r>
      <w:r>
        <w:rPr>
          <w:rStyle w:val="15"/>
          <w:rFonts w:hint="eastAsia" w:ascii="仿宋_GB2312" w:hAnsi="Times New Roman" w:eastAsia="仿宋_GB2312" w:cs="Times New Roman"/>
          <w:b w:val="0"/>
          <w:spacing w:val="-4"/>
          <w:sz w:val="32"/>
          <w:szCs w:val="32"/>
          <w:lang w:eastAsia="zh-CN"/>
        </w:rPr>
        <w:t>一是缺少带着问题去评价的意识。二是现场评价的工作量少，后续效益评价具体措施和方法较少</w:t>
      </w:r>
      <w:r>
        <w:rPr>
          <w:rFonts w:hint="eastAsia" w:ascii="仿宋_GB2312" w:eastAsia="仿宋_GB2312"/>
          <w:sz w:val="32"/>
          <w:szCs w:val="32"/>
          <w:lang w:eastAsia="zh-CN"/>
        </w:rPr>
        <w:t>。下一步改进措施：</w:t>
      </w:r>
      <w:r>
        <w:rPr>
          <w:rStyle w:val="15"/>
          <w:rFonts w:hint="eastAsia" w:ascii="仿宋_GB2312"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hint="eastAsia" w:ascii="仿宋_GB2312" w:eastAsia="仿宋_GB2312"/>
          <w:sz w:val="32"/>
          <w:szCs w:val="32"/>
          <w:lang w:eastAsia="zh-CN"/>
        </w:rPr>
        <w:t>。具体附项目支出绩效自评表。</w:t>
      </w:r>
    </w:p>
    <w:p>
      <w:pPr>
        <w:spacing w:after="0" w:line="56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t>十二、其他需说明的事项</w:t>
      </w:r>
    </w:p>
    <w:p>
      <w:pPr>
        <w:spacing w:after="0" w:line="560" w:lineRule="exact"/>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本单位无其他需说明的事项。</w:t>
      </w:r>
    </w:p>
    <w:p>
      <w:pPr>
        <w:spacing w:after="0" w:line="560" w:lineRule="exact"/>
        <w:ind w:firstLine="640" w:firstLineChars="200"/>
        <w:rPr>
          <w:rFonts w:hint="eastAsia" w:ascii="仿宋_GB2312" w:eastAsia="仿宋_GB2312"/>
          <w:sz w:val="32"/>
          <w:szCs w:val="32"/>
          <w:lang w:eastAsia="zh-CN"/>
        </w:rPr>
      </w:pPr>
    </w:p>
    <w:p>
      <w:pPr>
        <w:spacing w:line="560" w:lineRule="exact"/>
        <w:rPr>
          <w:rFonts w:hint="eastAsia" w:ascii="仿宋_GB2312" w:eastAsia="仿宋_GB2312"/>
          <w:sz w:val="32"/>
          <w:szCs w:val="32"/>
          <w:lang w:eastAsia="zh-CN"/>
        </w:rPr>
      </w:pPr>
      <w:r>
        <w:rPr>
          <w:rFonts w:hint="eastAsia" w:ascii="仿宋_GB2312" w:eastAsia="仿宋_GB2312"/>
          <w:sz w:val="32"/>
          <w:szCs w:val="32"/>
          <w:lang w:eastAsia="zh-CN"/>
        </w:rPr>
        <w:br w:type="page"/>
      </w:r>
    </w:p>
    <w:p>
      <w:pPr>
        <w:spacing w:after="0" w:line="560" w:lineRule="exact"/>
        <w:jc w:val="center"/>
        <w:outlineLvl w:val="0"/>
        <w:rPr>
          <w:rFonts w:hint="eastAsia" w:ascii="黑体" w:hAnsi="黑体" w:eastAsia="黑体"/>
          <w:sz w:val="32"/>
          <w:szCs w:val="32"/>
          <w:lang w:eastAsia="zh-CN"/>
        </w:rPr>
      </w:pPr>
      <w:r>
        <w:rPr>
          <w:rFonts w:hint="eastAsia" w:ascii="黑体" w:hAnsi="黑体" w:eastAsia="黑体"/>
          <w:sz w:val="32"/>
          <w:szCs w:val="32"/>
          <w:lang w:eastAsia="zh-CN"/>
        </w:rPr>
        <w:t>第三部分专业名词解释</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一、财政拨款收入：</w:t>
      </w:r>
      <w:r>
        <w:rPr>
          <w:rFonts w:hint="eastAsia" w:ascii="仿宋_GB2312" w:eastAsia="仿宋_GB2312"/>
          <w:sz w:val="32"/>
          <w:szCs w:val="32"/>
          <w:lang w:eastAsia="zh-CN"/>
        </w:rPr>
        <w:t>指同级财政当年拨付的资金。</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二、上级补助收入：</w:t>
      </w:r>
      <w:r>
        <w:rPr>
          <w:rFonts w:hint="eastAsia" w:ascii="仿宋_GB2312" w:eastAsia="仿宋_GB2312"/>
          <w:sz w:val="32"/>
          <w:szCs w:val="32"/>
          <w:lang w:eastAsia="zh-CN"/>
        </w:rPr>
        <w:t>指事业单位从主管部门和上级单位取得的非财政补助收入。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三、事业收入：</w:t>
      </w:r>
      <w:r>
        <w:rPr>
          <w:rFonts w:hint="eastAsia" w:ascii="仿宋_GB2312" w:eastAsia="仿宋_GB2312"/>
          <w:sz w:val="32"/>
          <w:szCs w:val="32"/>
          <w:lang w:eastAsia="zh-CN"/>
        </w:rPr>
        <w:t>指事业单位开展专业业务活动及其辅助活动所取得的收入。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四、经营收入：</w:t>
      </w:r>
      <w:r>
        <w:rPr>
          <w:rFonts w:hint="eastAsia" w:ascii="仿宋_GB2312" w:eastAsia="仿宋_GB2312"/>
          <w:sz w:val="32"/>
          <w:szCs w:val="32"/>
          <w:lang w:eastAsia="zh-CN"/>
        </w:rPr>
        <w:t>指事业单位在专业业务活动及其辅助活动之外开展非独立核算经营活动取得的收入。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五、附属单位上缴收入：</w:t>
      </w:r>
      <w:r>
        <w:rPr>
          <w:rFonts w:hint="eastAsia" w:ascii="仿宋_GB2312" w:eastAsia="仿宋_GB2312"/>
          <w:sz w:val="32"/>
          <w:szCs w:val="32"/>
          <w:lang w:eastAsia="zh-CN"/>
        </w:rPr>
        <w:t>指事业单位附属的独立核算单位按有关规定上缴的收入。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六、其他收入：</w:t>
      </w:r>
      <w:r>
        <w:rPr>
          <w:rFonts w:hint="eastAsia" w:ascii="仿宋_GB2312" w:eastAsia="仿宋_GB2312"/>
          <w:sz w:val="32"/>
          <w:szCs w:val="32"/>
          <w:lang w:eastAsia="zh-CN"/>
        </w:rPr>
        <w:t>指除上述“财政拨款收入”、“事业收入”、“经营收入”、“附属单位上缴收入”等之外取得的收入。</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七、年初结转和结余：</w:t>
      </w:r>
      <w:r>
        <w:rPr>
          <w:rFonts w:hint="eastAsia"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八、年末结转和结余：</w:t>
      </w:r>
      <w:r>
        <w:rPr>
          <w:rFonts w:hint="eastAsia"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九、基本支出：</w:t>
      </w:r>
      <w:r>
        <w:rPr>
          <w:rFonts w:hint="eastAsia" w:ascii="仿宋_GB2312" w:eastAsia="仿宋_GB2312"/>
          <w:sz w:val="32"/>
          <w:szCs w:val="32"/>
          <w:lang w:eastAsia="zh-CN"/>
        </w:rPr>
        <w:t>指为保障机构正常运转、完成日常工作任务而发生的人员支出和公用支出。</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十、项目支出：</w:t>
      </w:r>
      <w:r>
        <w:rPr>
          <w:rFonts w:hint="eastAsia" w:ascii="仿宋_GB2312" w:eastAsia="仿宋_GB2312"/>
          <w:sz w:val="32"/>
          <w:szCs w:val="32"/>
          <w:lang w:eastAsia="zh-CN"/>
        </w:rPr>
        <w:t>指在基本支出之外为完成特定行政任务和事业发展目标所发生的支出。</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十一、经营支出：</w:t>
      </w:r>
      <w:r>
        <w:rPr>
          <w:rFonts w:hint="eastAsia" w:ascii="仿宋_GB2312" w:eastAsia="仿宋_GB2312"/>
          <w:sz w:val="32"/>
          <w:szCs w:val="32"/>
          <w:lang w:eastAsia="zh-CN"/>
        </w:rPr>
        <w:t>指事业单位在专业业务活动及其辅助活动之外开展非独立核算经营活动发生的支出。</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十二、对附属单位补助支出：</w:t>
      </w:r>
      <w:r>
        <w:rPr>
          <w:rFonts w:hint="eastAsia" w:ascii="仿宋_GB2312" w:eastAsia="仿宋_GB2312"/>
          <w:sz w:val="32"/>
          <w:szCs w:val="32"/>
          <w:lang w:eastAsia="zh-CN"/>
        </w:rPr>
        <w:t>指事业单位发生的用非财政预算资金对附属单位的补助支出。</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十三、“三公”经费：</w:t>
      </w:r>
      <w:r>
        <w:rPr>
          <w:rFonts w:hint="eastAsia"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60" w:lineRule="exact"/>
        <w:ind w:firstLine="642" w:firstLineChars="200"/>
        <w:rPr>
          <w:rFonts w:hint="eastAsia" w:ascii="仿宋_GB2312" w:eastAsia="仿宋_GB2312"/>
          <w:sz w:val="32"/>
          <w:szCs w:val="32"/>
          <w:lang w:eastAsia="zh-CN"/>
        </w:rPr>
      </w:pPr>
      <w:r>
        <w:rPr>
          <w:rFonts w:hint="eastAsia" w:ascii="仿宋_GB2312" w:eastAsia="仿宋_GB2312"/>
          <w:b/>
          <w:sz w:val="32"/>
          <w:szCs w:val="32"/>
          <w:lang w:eastAsia="zh-CN"/>
        </w:rPr>
        <w:t>十四、机关运行经费：</w:t>
      </w:r>
      <w:r>
        <w:rPr>
          <w:rFonts w:hint="eastAsia" w:ascii="仿宋_GB2312" w:eastAsia="仿宋_GB2312"/>
          <w:sz w:val="32"/>
          <w:szCs w:val="32"/>
          <w:lang w:eastAsia="zh-CN"/>
        </w:rPr>
        <w:t>行政单位和参照公务员法管理的事业单位财政拨款基本支出中的公用经费支出。</w:t>
      </w:r>
    </w:p>
    <w:p>
      <w:pPr>
        <w:spacing w:line="560" w:lineRule="exact"/>
        <w:rPr>
          <w:rFonts w:hint="eastAsia" w:ascii="仿宋_GB2312" w:eastAsia="仿宋_GB2312"/>
          <w:sz w:val="32"/>
          <w:szCs w:val="32"/>
          <w:lang w:eastAsia="zh-CN"/>
        </w:rPr>
      </w:pPr>
      <w:r>
        <w:rPr>
          <w:rFonts w:hint="eastAsia" w:ascii="仿宋_GB2312" w:eastAsia="仿宋_GB2312"/>
          <w:sz w:val="32"/>
          <w:szCs w:val="32"/>
          <w:lang w:eastAsia="zh-CN"/>
        </w:rPr>
        <w:br w:type="page"/>
      </w:r>
    </w:p>
    <w:p>
      <w:pPr>
        <w:spacing w:after="0" w:line="560" w:lineRule="exact"/>
        <w:jc w:val="center"/>
        <w:outlineLvl w:val="0"/>
        <w:rPr>
          <w:rFonts w:hint="eastAsia" w:ascii="黑体" w:hAnsi="黑体" w:eastAsia="黑体"/>
          <w:sz w:val="32"/>
          <w:szCs w:val="32"/>
          <w:lang w:eastAsia="zh-CN"/>
        </w:rPr>
      </w:pPr>
      <w:r>
        <w:rPr>
          <w:rFonts w:hint="eastAsia" w:ascii="黑体" w:hAnsi="黑体" w:eastAsia="黑体"/>
          <w:sz w:val="32"/>
          <w:szCs w:val="32"/>
          <w:lang w:eastAsia="zh-CN"/>
        </w:rPr>
        <w:t>第四部分部门决算报表（见附表）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一、《收入支出决算总表》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二、《收入决算表》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三、《支出决算表》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四、《财政拨款收入支出决算总表》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五、《一般公共预算财政拨款支出决算表》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六、《一般公共预算财政拨款基本支出决算表》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七、《政府性基金预算财政拨款收入支出决算表》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八、《国有资本经营预算财政拨款收入支出决算表》</w:t>
      </w:r>
    </w:p>
    <w:p>
      <w:pPr>
        <w:spacing w:after="0" w:line="56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lang w:eastAsia="zh-CN"/>
        </w:rPr>
        <w:t>九、《财政拨款“三公”经费支出决算表》</w:t>
      </w:r>
    </w:p>
    <w:sectPr>
      <w:footerReference r:id="rId7" w:type="default"/>
      <w:pgSz w:w="12240" w:h="15840"/>
      <w:pgMar w:top="2098" w:right="1531" w:bottom="1985" w:left="1531" w:header="720" w:footer="720" w:gutter="0"/>
      <w:pgNumType w:fmt="numberInDash"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bookmarkStart w:id="0" w:name="_GoBack"/>
    <w:bookmarkEnd w:id="0"/>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EC5439"/>
    <w:rsid w:val="004140D4"/>
    <w:rsid w:val="00675D9E"/>
    <w:rsid w:val="00EC5439"/>
    <w:rsid w:val="26A90341"/>
    <w:rsid w:val="30823A8E"/>
    <w:rsid w:val="3C1D6CF5"/>
    <w:rsid w:val="5F9F0FB2"/>
    <w:rsid w:val="FDEF0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uiPriority w:val="99"/>
    <w:pPr>
      <w:tabs>
        <w:tab w:val="center" w:pos="4153"/>
        <w:tab w:val="right" w:pos="8306"/>
      </w:tabs>
      <w:snapToGrid w:val="0"/>
      <w:jc w:val="left"/>
    </w:pPr>
    <w:rPr>
      <w:sz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955</Words>
  <Characters>5446</Characters>
  <Lines>45</Lines>
  <Paragraphs>12</Paragraphs>
  <TotalTime>0</TotalTime>
  <ScaleCrop>false</ScaleCrop>
  <LinksUpToDate>false</LinksUpToDate>
  <CharactersWithSpaces>6389</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2025-08-18T17:34:00Z</dcterms:created>
  <dc:creator>admin</dc:creator>
  <cp:lastModifiedBy>fgw</cp:lastModifiedBy>
  <dcterms:modified xsi:type="dcterms:W3CDTF">2025-08-26T18:26:11Z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eyJoZGlkIjoiZTM3ZDYwNjg1ZjU0OWUzODg2NDlmOWVjNTUxNzAxMzIifQ==</vt:lpwstr>
  </property>
  <property fmtid="{D5CDD505-2E9C-101B-9397-08002B2CF9AE}" pid="3" name="KSOProductBuildVer">
    <vt:lpwstr>2052-11.8.2.11958</vt:lpwstr>
  </property>
  <property fmtid="{D5CDD505-2E9C-101B-9397-08002B2CF9AE}" pid="4" name="ICV">
    <vt:lpwstr>7F387AC36B424E128F3DD2D9A0C9900F_12</vt:lpwstr>
  </property>
</Properties>
</file>