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rPr>
          <w:rFonts w:ascii="Times New Roman" w:hAnsi="Times New Roman" w:eastAsia="宋体" w:cs="Times New Roman"/>
          <w:sz w:val="32"/>
          <w:szCs w:val="32"/>
        </w:rPr>
      </w:pPr>
    </w:p>
    <w:p>
      <w:pPr>
        <w:spacing w:after="0" w:line="240" w:lineRule="auto"/>
        <w:rPr>
          <w:rFonts w:ascii="Times New Roman" w:hAnsi="Times New Roman" w:eastAsia="宋体" w:cs="Times New Roman"/>
          <w:sz w:val="44"/>
          <w:szCs w:val="44"/>
        </w:rPr>
      </w:pPr>
    </w:p>
    <w:p>
      <w:pPr>
        <w:spacing w:after="0" w:line="240" w:lineRule="auto"/>
        <w:rPr>
          <w:rFonts w:ascii="Times New Roman" w:hAnsi="Times New Roman" w:eastAsia="宋体" w:cs="Times New Roman"/>
          <w:sz w:val="44"/>
          <w:szCs w:val="44"/>
        </w:rPr>
      </w:pPr>
    </w:p>
    <w:p>
      <w:pPr>
        <w:spacing w:after="0" w:line="240" w:lineRule="auto"/>
        <w:rPr>
          <w:rFonts w:ascii="Times New Roman" w:hAnsi="Times New Roman" w:eastAsia="宋体" w:cs="Times New Roman"/>
          <w:sz w:val="44"/>
          <w:szCs w:val="44"/>
        </w:rPr>
      </w:pPr>
    </w:p>
    <w:p>
      <w:pPr>
        <w:spacing w:after="0" w:line="240" w:lineRule="auto"/>
        <w:jc w:val="center"/>
        <w:outlineLvl w:val="0"/>
        <w:rPr>
          <w:rFonts w:ascii="Times New Roman" w:hAnsi="Times New Roman" w:eastAsia="黑体" w:cs="Times New Roman"/>
          <w:sz w:val="44"/>
          <w:szCs w:val="44"/>
          <w:lang w:eastAsia="zh-CN"/>
        </w:rPr>
      </w:pPr>
      <w:r>
        <w:rPr>
          <w:rFonts w:ascii="Times New Roman" w:hAnsi="Times New Roman" w:eastAsia="黑体" w:cs="Times New Roman"/>
          <w:sz w:val="44"/>
          <w:szCs w:val="44"/>
          <w:lang w:eastAsia="zh-CN"/>
        </w:rPr>
        <w:t>新疆维吾尔自治区能源安全监测中心</w:t>
      </w:r>
    </w:p>
    <w:p>
      <w:pPr>
        <w:spacing w:after="0" w:line="240" w:lineRule="auto"/>
        <w:jc w:val="center"/>
        <w:outlineLvl w:val="0"/>
        <w:rPr>
          <w:rFonts w:ascii="Times New Roman" w:hAnsi="Times New Roman" w:eastAsia="黑体" w:cs="Times New Roman"/>
          <w:sz w:val="44"/>
          <w:szCs w:val="44"/>
          <w:lang w:eastAsia="zh-CN"/>
        </w:rPr>
      </w:pPr>
      <w:r>
        <w:rPr>
          <w:rFonts w:ascii="Times New Roman" w:hAnsi="Times New Roman" w:eastAsia="黑体" w:cs="Times New Roman"/>
          <w:sz w:val="44"/>
          <w:szCs w:val="44"/>
          <w:lang w:eastAsia="zh-CN"/>
        </w:rPr>
        <w:t>2024年度部门决算公开说明</w:t>
      </w:r>
    </w:p>
    <w:p>
      <w:pPr>
        <w:spacing w:after="0" w:line="560" w:lineRule="exact"/>
        <w:jc w:val="center"/>
        <w:rPr>
          <w:rFonts w:ascii="Times New Roman" w:hAnsi="Times New Roman" w:eastAsia="黑体" w:cs="Times New Roman"/>
          <w:sz w:val="32"/>
          <w:szCs w:val="32"/>
          <w:lang w:eastAsia="zh-CN"/>
        </w:rPr>
        <w:sectPr>
          <w:pgSz w:w="12240" w:h="15840"/>
          <w:pgMar w:top="2098" w:right="1531" w:bottom="1985" w:left="1531" w:header="720" w:footer="720" w:gutter="0"/>
          <w:pgNumType w:fmt="numberInDash"/>
          <w:cols w:space="720" w:num="1"/>
          <w:docGrid w:linePitch="299" w:charSpace="0"/>
        </w:sectPr>
      </w:pPr>
    </w:p>
    <w:p>
      <w:pPr>
        <w:spacing w:after="0" w:line="560" w:lineRule="exact"/>
        <w:jc w:val="center"/>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目录</w:t>
      </w:r>
    </w:p>
    <w:p>
      <w:pPr>
        <w:spacing w:after="0" w:line="560" w:lineRule="exact"/>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第一部分单位概况</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一、主要职能</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二、机构设置及人员情况</w:t>
      </w:r>
    </w:p>
    <w:p>
      <w:pPr>
        <w:spacing w:after="0" w:line="560" w:lineRule="exact"/>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第二部分部门决算情况说明</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一、收入支出决算总体情况说明</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二、收入决算情况说明</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三、支出决算情况说明</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四、财政拨款收入支出决算总体情况说明</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五、一般公共预算财政拨款支出决算情况说明</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（一）一般公共预算财政拨款支出决算总体情况</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（二）一般公共预算财政拨款支出决算结构情况</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（三）一般公共预算财政拨款支出决算具体情况</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六、一般公共预算财政拨款基本支出决算情况说明</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七、政府性基金预算财政拨款收入支出决算情况说明</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八、国有资本经营预算财政拨款收入支出决算情况说明</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九、财政拨款“三公”经费支出决算情况说明</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十、其他重要事项的情况说明</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（一）机关运行经费及公用经费支出情况</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（二）政府采购情况</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（三）国有资产占用情况说明</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十一、预算绩效的情况说明</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十二、其他需说明的事项</w:t>
      </w:r>
    </w:p>
    <w:p>
      <w:pPr>
        <w:spacing w:after="0" w:line="560" w:lineRule="exact"/>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第三部分专业名词解释</w:t>
      </w:r>
    </w:p>
    <w:p>
      <w:pPr>
        <w:spacing w:after="0" w:line="560" w:lineRule="exact"/>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第四部分部门决算报表（见附表）</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一、《收入支出决算总表》</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二、《收入决算表》</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三、《支出决算表》</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四、《财政拨款收入支出决算总表》</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五、《一般公共预算财政拨款支出决算表》</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六、《一般公共预算财政拨款基本支出决算表》</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七、《政府性基金预算财政拨款收入支出决算表》</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八、《国有资本经营预算财政拨款收入支出决算表》</w:t>
      </w:r>
    </w:p>
    <w:p>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九、《财政拨款“三公”经费支出决算表》</w:t>
      </w:r>
    </w:p>
    <w:p>
      <w:pPr>
        <w:spacing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br w:type="page"/>
      </w:r>
    </w:p>
    <w:p>
      <w:pPr>
        <w:spacing w:after="0" w:line="560" w:lineRule="exact"/>
        <w:jc w:val="center"/>
        <w:outlineLvl w:val="0"/>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第一部分单位概况</w:t>
      </w:r>
    </w:p>
    <w:p>
      <w:pPr>
        <w:spacing w:after="0" w:line="560" w:lineRule="exact"/>
        <w:ind w:firstLine="640" w:firstLineChars="200"/>
        <w:outlineLvl w:val="1"/>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一、主要职能</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 xml:space="preserve">新疆维吾尔自治区能源安全监测中心是开展能源行业信息统计分析、监测评价的公益一类事业单位，由自治区发展和改革委员会管理，为副厅级。 </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 xml:space="preserve">（一）承担自治区能源行业建设、生产运行、安全信息统计分析与监测预警工作；负责能源行业大数据平台建设、运行工作。 </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 xml:space="preserve">（二）承担自治区能源行业信用体系建设管理和工程质量管理工作的技术支撑。 </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 xml:space="preserve">（三）承担全区油气管道保护和煤矿、电力行业安全生产政策、技术规范的研究等工作。 </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 xml:space="preserve">（四）承担自治区能源重大规划、专项规划、重大项目等执行情况及项目事中、事后评价工作的跟踪分析。 </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（五）完成自治区发展和改革委员会交办的其他任务。</w:t>
      </w:r>
    </w:p>
    <w:p>
      <w:pPr>
        <w:spacing w:after="0" w:line="560" w:lineRule="exact"/>
        <w:ind w:firstLine="640" w:firstLineChars="200"/>
        <w:outlineLvl w:val="1"/>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二、机构设置及人员情况</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新疆维吾尔自治区能源安全监测中心2024年度，实有人数33人，其中：在职人员33人，较上年无变化；离休人员0人，较上年无变化；退休人员0人，较上年无变化；</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新疆维吾尔自治区能源安全监测中心无下属预算单位，下设6个处室，分别是：党建综合部、统计分析部、监测一部、监测二部、监测三部、能源发展评价部。</w:t>
      </w:r>
    </w:p>
    <w:p>
      <w:pPr>
        <w:spacing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br w:type="page"/>
      </w:r>
    </w:p>
    <w:p>
      <w:pPr>
        <w:spacing w:after="0" w:line="560" w:lineRule="exact"/>
        <w:jc w:val="center"/>
        <w:outlineLvl w:val="0"/>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第二部分部门决算情况说明</w:t>
      </w:r>
    </w:p>
    <w:p>
      <w:pPr>
        <w:spacing w:after="0" w:line="560" w:lineRule="exact"/>
        <w:ind w:firstLine="640" w:firstLineChars="200"/>
        <w:outlineLvl w:val="1"/>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一、收入支出决算总体情况说明</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2024年度收入总计826.82万元，其中：本年收入合计826.82万元，使用非财政拨款结余（含专用结余）0.00万元，年初结转和结余0.00万元。</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2024年度支出总计826.82万元，其中：本年支出合计826.82万元，结余分配0.00万元，年末结转和结余0.00万元。</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收入支出总体与上年相比，减少1,797.23万元，下降68.49%，主要原因是：</w:t>
      </w:r>
      <w:bookmarkStart w:id="0" w:name="_GoBack"/>
      <w:bookmarkEnd w:id="0"/>
      <w:r>
        <w:rPr>
          <w:rFonts w:hint="eastAsia" w:ascii="Times New Roman" w:hAnsi="Times New Roman" w:eastAsia="仿宋_GB2312" w:cs="Times New Roman"/>
          <w:sz w:val="32"/>
          <w:szCs w:val="32"/>
          <w:lang w:eastAsia="zh-CN"/>
        </w:rPr>
        <w:t>某</w:t>
      </w:r>
      <w:r>
        <w:rPr>
          <w:rFonts w:ascii="Times New Roman" w:hAnsi="Times New Roman" w:eastAsia="仿宋_GB2312" w:cs="Times New Roman"/>
          <w:sz w:val="32"/>
          <w:szCs w:val="32"/>
          <w:lang w:eastAsia="zh-CN"/>
        </w:rPr>
        <w:t>地理信息决策支持系统，自治区重点用能单位用能预算管理课题研究资金减少。</w:t>
      </w:r>
    </w:p>
    <w:p>
      <w:pPr>
        <w:spacing w:after="0" w:line="560" w:lineRule="exact"/>
        <w:ind w:firstLine="640" w:firstLineChars="200"/>
        <w:outlineLvl w:val="1"/>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二、收入决算情况说明</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本年收入826.82万元，其中：财政拨款收入826.82万元,占100.00%；上级补助收入0.00万元,占0.00%；事业收入0.00万元，占0.00%；经营收入0.00万元,占0.00%；附属单位上缴收入0.00万元，占0.00%；其他收入0.00万元，占0.00%。</w:t>
      </w:r>
    </w:p>
    <w:p>
      <w:pPr>
        <w:spacing w:after="0" w:line="560" w:lineRule="exact"/>
        <w:ind w:firstLine="640" w:firstLineChars="200"/>
        <w:outlineLvl w:val="1"/>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三、支出决算情况说明</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本年支出826.82万元，其中：基本支出643.91万元，占77.88%；项目支出182.91万元，占22.12%；上缴上级支出0.00万元，占0.00%；经营支出0.00万元，占0.00%；对附属单位补助支出0.00万元，占0.00%。</w:t>
      </w:r>
    </w:p>
    <w:p>
      <w:pPr>
        <w:spacing w:after="0" w:line="560" w:lineRule="exact"/>
        <w:ind w:firstLine="640" w:firstLineChars="200"/>
        <w:outlineLvl w:val="1"/>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四、财政拨款收入支出决算总体情况说明</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2024年度财政拨款收入总计826.82万元，其中：年初财政拨款结转和结余0.00万元，本年财政拨款收入826.82万元。财政拨款支出总计826.82万元，其中：年末财政拨款结转和结余0.00万元，本年财政拨款支出826.82万元。</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财政拨款收入支出总体与上年相比，减少1,797.23万元，下降68.49%，主要原因是：</w:t>
      </w:r>
      <w:r>
        <w:rPr>
          <w:rFonts w:hint="eastAsia" w:ascii="Times New Roman" w:hAnsi="Times New Roman" w:eastAsia="仿宋_GB2312" w:cs="Times New Roman"/>
          <w:sz w:val="32"/>
          <w:szCs w:val="32"/>
          <w:lang w:eastAsia="zh-CN"/>
        </w:rPr>
        <w:t>某</w:t>
      </w:r>
      <w:r>
        <w:rPr>
          <w:rFonts w:ascii="Times New Roman" w:hAnsi="Times New Roman" w:eastAsia="仿宋_GB2312" w:cs="Times New Roman"/>
          <w:sz w:val="32"/>
          <w:szCs w:val="32"/>
          <w:lang w:eastAsia="zh-CN"/>
        </w:rPr>
        <w:t>地理信息决策支持系统，自治区重点用能单位用能预算管理课题研究资金减少。与年初预算相比，年初预算数588.87万元，决算数826.82万元，预决算差异率40.41%，主要原因是：年中追加自治区重点用能单位能源利用状况核查、节能诊断及电力行业建设和运行情况监测项目，导致预决算存在差异。</w:t>
      </w:r>
    </w:p>
    <w:p>
      <w:pPr>
        <w:spacing w:after="0" w:line="560" w:lineRule="exact"/>
        <w:ind w:firstLine="640" w:firstLineChars="200"/>
        <w:outlineLvl w:val="1"/>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五、一般公共预算财政拨款支出决算情况说明</w:t>
      </w:r>
    </w:p>
    <w:p>
      <w:pPr>
        <w:spacing w:after="0" w:line="560" w:lineRule="exact"/>
        <w:ind w:firstLine="640" w:firstLineChars="200"/>
        <w:outlineLvl w:val="2"/>
        <w:rPr>
          <w:rFonts w:ascii="Times New Roman" w:hAnsi="Times New Roman" w:eastAsia="楷体_GB2312" w:cs="Times New Roman"/>
          <w:sz w:val="32"/>
          <w:szCs w:val="32"/>
          <w:lang w:eastAsia="zh-CN"/>
        </w:rPr>
      </w:pPr>
      <w:r>
        <w:rPr>
          <w:rFonts w:ascii="Times New Roman" w:hAnsi="Times New Roman" w:eastAsia="楷体_GB2312" w:cs="Times New Roman"/>
          <w:sz w:val="32"/>
          <w:szCs w:val="32"/>
          <w:lang w:eastAsia="zh-CN"/>
        </w:rPr>
        <w:t>（一）一般公共预算财政拨款支出决算总体情况</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2024年度一般公共预算财政拨款支出826.82万元，占本年支出合计的100.00%。与上年相比，减少1,797.23万元，下降68.49%，主要原因是：</w:t>
      </w:r>
      <w:r>
        <w:rPr>
          <w:rFonts w:hint="eastAsia" w:ascii="Times New Roman" w:hAnsi="Times New Roman" w:eastAsia="仿宋_GB2312" w:cs="Times New Roman"/>
          <w:sz w:val="32"/>
          <w:szCs w:val="32"/>
          <w:lang w:eastAsia="zh-CN"/>
        </w:rPr>
        <w:t>某</w:t>
      </w:r>
      <w:r>
        <w:rPr>
          <w:rFonts w:ascii="Times New Roman" w:hAnsi="Times New Roman" w:eastAsia="仿宋_GB2312" w:cs="Times New Roman"/>
          <w:sz w:val="32"/>
          <w:szCs w:val="32"/>
          <w:lang w:eastAsia="zh-CN"/>
        </w:rPr>
        <w:t>地理信息决策支持系统，自治区重点用能单位用能预算管理课题研究资金减少。与年初预算相比，年初预算数588.87万元，决算数826.82万元，预决算差异率40.41%，主要原因是：年中追加自治区重点用能单位能源利用状况核查、节能诊断及电力行业建设和运行情况监测项目，导致预决算存在差异。</w:t>
      </w:r>
    </w:p>
    <w:p>
      <w:pPr>
        <w:spacing w:after="0" w:line="560" w:lineRule="exact"/>
        <w:ind w:firstLine="640" w:firstLineChars="200"/>
        <w:outlineLvl w:val="2"/>
        <w:rPr>
          <w:rFonts w:ascii="Times New Roman" w:hAnsi="Times New Roman" w:eastAsia="楷体_GB2312" w:cs="Times New Roman"/>
          <w:sz w:val="32"/>
          <w:szCs w:val="32"/>
          <w:lang w:eastAsia="zh-CN"/>
        </w:rPr>
      </w:pPr>
      <w:r>
        <w:rPr>
          <w:rFonts w:ascii="Times New Roman" w:hAnsi="Times New Roman" w:eastAsia="楷体_GB2312" w:cs="Times New Roman"/>
          <w:sz w:val="32"/>
          <w:szCs w:val="32"/>
          <w:lang w:eastAsia="zh-CN"/>
        </w:rPr>
        <w:t>（二）一般公共预算财政拨款支出决算结构情况</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1.一般公共服务支出（类）494.06万元，占59.75%。</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2.社会保障和就业支出（类）56.42万元，占6.82%。</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3.卫生健康支出（类）51.13万元，占6.18%。</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4.节能环保支出（类）154.91万元，占18.74%。</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5.资源勘探工业信息等支出（类）28.00万元，占3.39%。</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6.住房保障支出（类）42.31万元，占5.12%。</w:t>
      </w:r>
    </w:p>
    <w:p>
      <w:pPr>
        <w:spacing w:after="0" w:line="560" w:lineRule="exact"/>
        <w:ind w:firstLine="640" w:firstLineChars="200"/>
        <w:outlineLvl w:val="2"/>
        <w:rPr>
          <w:rFonts w:ascii="Times New Roman" w:hAnsi="Times New Roman" w:eastAsia="楷体_GB2312" w:cs="Times New Roman"/>
          <w:sz w:val="32"/>
          <w:szCs w:val="32"/>
          <w:lang w:eastAsia="zh-CN"/>
        </w:rPr>
      </w:pPr>
      <w:r>
        <w:rPr>
          <w:rFonts w:ascii="Times New Roman" w:hAnsi="Times New Roman" w:eastAsia="楷体_GB2312" w:cs="Times New Roman"/>
          <w:sz w:val="32"/>
          <w:szCs w:val="32"/>
          <w:lang w:eastAsia="zh-CN"/>
        </w:rPr>
        <w:t>（三）一般公共预算财政拨款支出决算具体情况</w:t>
      </w:r>
    </w:p>
    <w:p>
      <w:pPr>
        <w:numPr>
          <w:ilvl w:val="0"/>
          <w:numId w:val="1"/>
        </w:num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一般公共服务支出（类）发展与改革事务（款）事业运行（项）：支出决算数为494.06万元，比上年决算增加492.19万元，增长26,320.32%，主要原因是：本年功能科目调整，人员经费调整至此科目列支，导致经费支出增加。</w:t>
      </w:r>
    </w:p>
    <w:p>
      <w:pPr>
        <w:numPr>
          <w:ilvl w:val="0"/>
          <w:numId w:val="1"/>
        </w:num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一般公共服务支出（类）发展与改革事务（款）其他发展与改革事务支出（项）：支出决算数为0.00万元，比上年决算减少1,741.37万元，下降100.00%，主要原因是：</w:t>
      </w:r>
      <w:r>
        <w:rPr>
          <w:rFonts w:hint="eastAsia" w:ascii="Times New Roman" w:hAnsi="Times New Roman" w:eastAsia="仿宋_GB2312" w:cs="Times New Roman"/>
          <w:sz w:val="32"/>
          <w:szCs w:val="32"/>
          <w:lang w:eastAsia="zh-CN"/>
        </w:rPr>
        <w:t>某</w:t>
      </w:r>
      <w:r>
        <w:rPr>
          <w:rFonts w:ascii="Times New Roman" w:hAnsi="Times New Roman" w:eastAsia="仿宋_GB2312" w:cs="Times New Roman"/>
          <w:sz w:val="32"/>
          <w:szCs w:val="32"/>
          <w:lang w:eastAsia="zh-CN"/>
        </w:rPr>
        <w:t>地理信息决策支持系统，自治区重点用能单位用能预算管理课题研究资金减少。</w:t>
      </w:r>
    </w:p>
    <w:p>
      <w:pPr>
        <w:numPr>
          <w:ilvl w:val="0"/>
          <w:numId w:val="1"/>
        </w:num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社会保障和就业支出（类）行政事业单位养老支出（款）机关事业单位基本养老保险缴费支出（项）：支出决算数为56.42万元，比上年决算增加1.27万元，增长2.30%，主要原因是：本年在职人员工资基数调增，养老缴费基数上涨，相应支出增加。</w:t>
      </w:r>
    </w:p>
    <w:p>
      <w:pPr>
        <w:numPr>
          <w:ilvl w:val="0"/>
          <w:numId w:val="1"/>
        </w:num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社会保障和就业支出（类）行政事业单位养老支出（款）机关事业单位职业年金缴费支出（项）：支出决算数为0.00万元，比上年决算减少4.35万元，下降100.00%，主要原因是：本年无新增退休人员，职业年金缴费支出减少。</w:t>
      </w:r>
    </w:p>
    <w:p>
      <w:pPr>
        <w:numPr>
          <w:ilvl w:val="0"/>
          <w:numId w:val="1"/>
        </w:num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卫生健康支出（类）行政事业单位医疗（款）事业单位医疗（项）：支出决算数为26.44万元，比上年决算增加0.59万元，增长2.28%，主要原因是：本年在职人员工资基数调增，医疗缴费基数上涨，相应支出增加。</w:t>
      </w:r>
    </w:p>
    <w:p>
      <w:pPr>
        <w:numPr>
          <w:ilvl w:val="0"/>
          <w:numId w:val="1"/>
        </w:num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卫生健康支出（类）行政事业单位医疗（款）公务员医疗补助（项）：支出决算数为24.68万元，比上年决算增加0.55万元，增长2.28%，主要原因是：本年在职人员工资基数调增，医疗缴费基数上涨，相应支出增加。</w:t>
      </w:r>
    </w:p>
    <w:p>
      <w:pPr>
        <w:numPr>
          <w:ilvl w:val="0"/>
          <w:numId w:val="1"/>
        </w:num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节能环保支出（类）能源节约利用（款）能源节约利用（项）：支出决算数为154.91万元，比上年决算增加86.38万元，增长126.05%，主要原因是：本年增加自治区重点用能单位能源利用状况核查、节能诊断及电力行业建设和运行情况监测项目。</w:t>
      </w:r>
    </w:p>
    <w:p>
      <w:pPr>
        <w:numPr>
          <w:ilvl w:val="0"/>
          <w:numId w:val="1"/>
        </w:num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资源勘探工业信息等支出（类）资源勘探开发（款）其他资源勘探业支出（项）：支出决算数为28.00万元，比上年决算减少633.43万元，下降95.77%，主要原因是：本年自治区重点用能单位用能预算管理课题研究资金减少。</w:t>
      </w:r>
    </w:p>
    <w:p>
      <w:pPr>
        <w:numPr>
          <w:ilvl w:val="0"/>
          <w:numId w:val="1"/>
        </w:num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住房保障支出（类）住房改革支出（款）住房公积金（项）：支出决算数为42.31万元，比上年决算增加0.95万元，增长2.30%，主要原因是：本年在职人员工资基数调增，公积金缴费基数上涨，相应支出增加。</w:t>
      </w:r>
    </w:p>
    <w:p>
      <w:pPr>
        <w:spacing w:after="0" w:line="560" w:lineRule="exact"/>
        <w:ind w:firstLine="640" w:firstLineChars="200"/>
        <w:outlineLvl w:val="1"/>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六、一般公共预算财政拨款基本支出决算情况说明</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一般公共预算财政拨款基本支出643.91万元，其中：人员经费598.25万元，包括：基本工资、津贴补贴、奖金、绩效工资、机关事业单位基本养老保险缴费、职业年金缴费、职工基本医疗保险缴费、公务员医疗补助缴费、其他社会保障缴费、住房公积金和其他工资福利支出。</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公用经费45.67万元，包括：办公费、咨询费、水费、电费、邮电费、取暖费、差旅费、工会经费、福利费、公务用车运行维护费和其他商品和服务支出。</w:t>
      </w:r>
    </w:p>
    <w:p>
      <w:pPr>
        <w:spacing w:after="0" w:line="560" w:lineRule="exact"/>
        <w:ind w:firstLine="640" w:firstLineChars="200"/>
        <w:outlineLvl w:val="1"/>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七、政府性基金预算财政拨款收入支出决算情况说明</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本单位本年度无政府性基金预算财政拨款收入、支出及结转和结余，政府性基金预算财政拨款收入支出决算表为空表。</w:t>
      </w:r>
    </w:p>
    <w:p>
      <w:pPr>
        <w:spacing w:after="0" w:line="560" w:lineRule="exact"/>
        <w:ind w:firstLine="640" w:firstLineChars="200"/>
        <w:outlineLvl w:val="1"/>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八、国有资本经营预算财政拨款收入支出决算情况说明</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本单位本年度无国有资本经营预算财政拨款收入、支出及结转和结余，国有资本经营预算财政拨款收入支出决算表为空表。</w:t>
      </w:r>
    </w:p>
    <w:p>
      <w:pPr>
        <w:spacing w:after="0" w:line="560" w:lineRule="exact"/>
        <w:ind w:firstLine="640" w:firstLineChars="200"/>
        <w:outlineLvl w:val="1"/>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九、财政拨款“三公”经费支出决算情况说明</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财政拨款“三公”经费支出1.43万元，与上年相比无变化，主要原因是：本年财政拨款“三公”经费与上年一致无变化。其中：因公出国（境）费支出0.00万元,占0.00%，与上年相比无变化，主要原因是：2023年与2024年均未安排因公出国（境）费支出；公务用车购置及运行维护费支出1.43万元，占100.00%，与上年相比无变化，主要原因是：本年公务用车购置及运行维护费与上年一致无变化；公务接待费支出0.00万元，占0.00%，与上年相比无变化，主要原因是：2023年与2024年均未安排公务接待费支出。</w:t>
      </w:r>
    </w:p>
    <w:p>
      <w:pPr>
        <w:spacing w:after="0" w:line="56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具体情况如下：</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因公出国（境）费支出0.00万元，开支内容包括本单位无因公出国（境）费。单位全年安排的因公出国（境）团组0个，因公出国（境）0人次。</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公务用车购置及运行维护费1.43万元，其中：公务用车购置费0.00万元，公务用车运行维护费1.43万元。公务用车运行维护费开支内容包括车辆加油费、维修费、保险费、审车费。公务用车购置数0辆，公务用车保有量1辆。国有资产占用情况中固定资产车辆1辆，与公务用车保有量差异原因是：本单位固定资产车辆与公务用车保有量一致无差异。</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公务接待费0.00万元，开支内容包括本单位无公务接待费。单位全年安排的国内公务接待0批次，0人次。</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与全年预算相比，财政拨款“三公”经费支出全年预算数1.43万元，决算数1.43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1.43万元，决算数1.43万元，预决算差异率0.00%，主要原因是：严格按照预算执行，预决算无差异；公务接待费全年预算数0.00万元，决算数0.00万元，预决算差异率0.00%，主要原因是：本单位无公务接待费。</w:t>
      </w:r>
    </w:p>
    <w:p>
      <w:pPr>
        <w:spacing w:after="0" w:line="560" w:lineRule="exact"/>
        <w:ind w:firstLine="640" w:firstLineChars="200"/>
        <w:outlineLvl w:val="1"/>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十、其他重要事项的情况说明</w:t>
      </w:r>
    </w:p>
    <w:p>
      <w:pPr>
        <w:spacing w:after="0" w:line="560" w:lineRule="exact"/>
        <w:ind w:firstLine="640" w:firstLineChars="200"/>
        <w:outlineLvl w:val="2"/>
        <w:rPr>
          <w:rFonts w:ascii="Times New Roman" w:hAnsi="Times New Roman" w:eastAsia="楷体_GB2312" w:cs="Times New Roman"/>
          <w:sz w:val="32"/>
          <w:szCs w:val="32"/>
          <w:lang w:eastAsia="zh-CN"/>
        </w:rPr>
      </w:pPr>
      <w:r>
        <w:rPr>
          <w:rFonts w:ascii="Times New Roman" w:hAnsi="Times New Roman" w:eastAsia="楷体_GB2312" w:cs="Times New Roman"/>
          <w:sz w:val="32"/>
          <w:szCs w:val="32"/>
          <w:lang w:eastAsia="zh-CN"/>
        </w:rPr>
        <w:t>（一）机关运行经费及公用经费支出情况</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2024年度新疆维吾尔自治区能源安全监测中心公用经费支出45.67万元，比上年增加9.70万元，增长26.97%，主要原因是：本年办公费、差旅费增加，导致公用经费支出增加。</w:t>
      </w:r>
    </w:p>
    <w:p>
      <w:pPr>
        <w:spacing w:after="0" w:line="560" w:lineRule="exact"/>
        <w:ind w:firstLine="640" w:firstLineChars="200"/>
        <w:outlineLvl w:val="2"/>
        <w:rPr>
          <w:rFonts w:ascii="Times New Roman" w:hAnsi="Times New Roman" w:eastAsia="楷体_GB2312" w:cs="Times New Roman"/>
          <w:sz w:val="32"/>
          <w:szCs w:val="32"/>
          <w:lang w:eastAsia="zh-CN"/>
        </w:rPr>
      </w:pPr>
      <w:r>
        <w:rPr>
          <w:rFonts w:ascii="Times New Roman" w:hAnsi="Times New Roman" w:eastAsia="楷体_GB2312" w:cs="Times New Roman"/>
          <w:sz w:val="32"/>
          <w:szCs w:val="32"/>
          <w:lang w:eastAsia="zh-CN"/>
        </w:rPr>
        <w:t>（二）政府采购情况</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2024年度政府采购支出总额37.45万元，其中：政府采购货物支出0.20万元、政府采购工程支出0.00万元、政府采购服务支出37.25万元。</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授予中小企业合同金额2.43万元，占政府采购支出总额的6.49%，其中：授予小微企业合同金额2.43万元，占政府采购支出总额的6.49%。</w:t>
      </w:r>
    </w:p>
    <w:p>
      <w:pPr>
        <w:spacing w:after="0" w:line="560" w:lineRule="exact"/>
        <w:ind w:firstLine="640" w:firstLineChars="200"/>
        <w:outlineLvl w:val="2"/>
        <w:rPr>
          <w:rFonts w:ascii="Times New Roman" w:hAnsi="Times New Roman" w:eastAsia="楷体_GB2312" w:cs="Times New Roman"/>
          <w:sz w:val="32"/>
          <w:szCs w:val="32"/>
          <w:lang w:eastAsia="zh-CN"/>
        </w:rPr>
      </w:pPr>
      <w:r>
        <w:rPr>
          <w:rFonts w:ascii="Times New Roman" w:hAnsi="Times New Roman" w:eastAsia="楷体_GB2312" w:cs="Times New Roman"/>
          <w:sz w:val="32"/>
          <w:szCs w:val="32"/>
          <w:lang w:eastAsia="zh-CN"/>
        </w:rPr>
        <w:t>（三）国有资产占用情况说明</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rPr>
        <w:t>截至2024年12月31日，房屋0.00平方米，价值0.00万元。</w:t>
      </w:r>
      <w:r>
        <w:rPr>
          <w:rFonts w:ascii="Times New Roman" w:hAnsi="Times New Roman" w:eastAsia="仿宋_GB2312" w:cs="Times New Roman"/>
          <w:sz w:val="32"/>
          <w:szCs w:val="32"/>
          <w:lang w:eastAsia="zh-CN"/>
        </w:rPr>
        <w:t>车辆1辆，价值42.95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pPr>
        <w:spacing w:after="0" w:line="560" w:lineRule="exact"/>
        <w:ind w:firstLine="640" w:firstLineChars="200"/>
        <w:outlineLvl w:val="1"/>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十一、预算绩效的情况说明</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根据预算绩效管理要求，本单位2024年度预算绩效评价项目1个，全年预算数28.00万元，全年执行数28.00万元。预算绩效管理取得的成效：一是本项目能够严格项目建设内容实施，项目执行情况较好。二是加强组织领导，本项目绩效评价工作，由中心主要领导亲自挂帅，分管财务领导具体负责，从项目到资金，均能有很好地执行。三是加强沟通协调，项目实施部门及时向中心领导汇报项目建设进度，加强与项目实施部门的沟通，确保项目按期完工。发现的问题及原因：一是对各项指标和指标值要进一步优化、完善，主要在细化、量化上改进，二是自评价工作还存在自我审定的局限性，会影响评价质量，容易造成问题的疏漏，在客观性和公正性上说服力不强，三是现场评价的工作量少，后续效益评价具体措施和方法较少。下一步改进措施：进一步细化完善指标和指标值，并结合项目进展及外部客观因素定期调整指标和指标值，确保其科学性和适用性。将现有指标进一步分解为更具体的子指标，确保每个指标都能准确反映项目的实际效果。具体附项目支出绩效自评表。</w:t>
      </w:r>
    </w:p>
    <w:p>
      <w:pPr>
        <w:spacing w:after="0" w:line="560" w:lineRule="exact"/>
        <w:ind w:firstLine="640" w:firstLineChars="200"/>
        <w:outlineLvl w:val="1"/>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十二、其他需说明的事项</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本单位无其他需说明事项。</w:t>
      </w:r>
    </w:p>
    <w:p>
      <w:pPr>
        <w:spacing w:after="0" w:line="560" w:lineRule="exact"/>
        <w:ind w:firstLine="640" w:firstLineChars="200"/>
        <w:rPr>
          <w:rFonts w:ascii="Times New Roman" w:hAnsi="Times New Roman" w:eastAsia="仿宋_GB2312" w:cs="Times New Roman"/>
          <w:sz w:val="32"/>
          <w:szCs w:val="32"/>
          <w:lang w:eastAsia="zh-CN"/>
        </w:rPr>
      </w:pPr>
    </w:p>
    <w:p>
      <w:pPr>
        <w:spacing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br w:type="page"/>
      </w:r>
    </w:p>
    <w:p>
      <w:pPr>
        <w:spacing w:after="0" w:line="560" w:lineRule="exact"/>
        <w:jc w:val="center"/>
        <w:outlineLvl w:val="0"/>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第三部分专业名词解释</w:t>
      </w:r>
    </w:p>
    <w:p>
      <w:pPr>
        <w:spacing w:after="0" w:line="56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一、财政拨款收入：</w:t>
      </w:r>
      <w:r>
        <w:rPr>
          <w:rFonts w:ascii="Times New Roman" w:hAnsi="Times New Roman" w:eastAsia="仿宋_GB2312" w:cs="Times New Roman"/>
          <w:sz w:val="32"/>
          <w:szCs w:val="32"/>
          <w:lang w:eastAsia="zh-CN"/>
        </w:rPr>
        <w:t>指同级财政当年拨付的资金。</w:t>
      </w:r>
    </w:p>
    <w:p>
      <w:pPr>
        <w:spacing w:after="0" w:line="56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二、上级补助收入：</w:t>
      </w:r>
      <w:r>
        <w:rPr>
          <w:rFonts w:ascii="Times New Roman" w:hAnsi="Times New Roman" w:eastAsia="仿宋_GB2312" w:cs="Times New Roman"/>
          <w:sz w:val="32"/>
          <w:szCs w:val="32"/>
          <w:lang w:eastAsia="zh-CN"/>
        </w:rPr>
        <w:t>指事业单位从主管部门和上级单位取得的非财政补助收入。</w:t>
      </w:r>
    </w:p>
    <w:p>
      <w:pPr>
        <w:spacing w:after="0" w:line="56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三、事业收入：</w:t>
      </w:r>
      <w:r>
        <w:rPr>
          <w:rFonts w:ascii="Times New Roman" w:hAnsi="Times New Roman" w:eastAsia="仿宋_GB2312" w:cs="Times New Roman"/>
          <w:sz w:val="32"/>
          <w:szCs w:val="32"/>
          <w:lang w:eastAsia="zh-CN"/>
        </w:rPr>
        <w:t>指事业单位开展专业业务活动及其辅助活动所取得的收入。</w:t>
      </w:r>
    </w:p>
    <w:p>
      <w:pPr>
        <w:spacing w:after="0" w:line="56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四、经营收入：</w:t>
      </w:r>
      <w:r>
        <w:rPr>
          <w:rFonts w:ascii="Times New Roman" w:hAnsi="Times New Roman" w:eastAsia="仿宋_GB2312" w:cs="Times New Roman"/>
          <w:sz w:val="32"/>
          <w:szCs w:val="32"/>
          <w:lang w:eastAsia="zh-CN"/>
        </w:rPr>
        <w:t>指事业单位在专业业务活动及其辅助活动之外开展非独立核算经营活动取得的收入。</w:t>
      </w:r>
    </w:p>
    <w:p>
      <w:pPr>
        <w:spacing w:after="0" w:line="56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五、附属单位上缴收入：</w:t>
      </w:r>
      <w:r>
        <w:rPr>
          <w:rFonts w:ascii="Times New Roman" w:hAnsi="Times New Roman" w:eastAsia="仿宋_GB2312" w:cs="Times New Roman"/>
          <w:sz w:val="32"/>
          <w:szCs w:val="32"/>
          <w:lang w:eastAsia="zh-CN"/>
        </w:rPr>
        <w:t>指事业单位附属的独立核算单位按有关规定上缴的收入。</w:t>
      </w:r>
    </w:p>
    <w:p>
      <w:pPr>
        <w:spacing w:after="0" w:line="56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六、其他收入：</w:t>
      </w:r>
      <w:r>
        <w:rPr>
          <w:rFonts w:ascii="Times New Roman" w:hAnsi="Times New Roman" w:eastAsia="仿宋_GB2312" w:cs="Times New Roman"/>
          <w:sz w:val="32"/>
          <w:szCs w:val="32"/>
          <w:lang w:eastAsia="zh-CN"/>
        </w:rPr>
        <w:t>指除上述“财政拨款收入”、“事业收入”、“经营收入”、“附属单位上缴收入”等之外取得的收入。</w:t>
      </w:r>
    </w:p>
    <w:p>
      <w:pPr>
        <w:spacing w:after="0" w:line="56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七、年初结转和结余：</w:t>
      </w:r>
      <w:r>
        <w:rPr>
          <w:rFonts w:ascii="Times New Roman" w:hAnsi="Times New Roman" w:eastAsia="仿宋_GB2312" w:cs="Times New Roman"/>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pPr>
        <w:spacing w:after="0" w:line="56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八、年末结转和结余：</w:t>
      </w:r>
      <w:r>
        <w:rPr>
          <w:rFonts w:ascii="Times New Roman" w:hAnsi="Times New Roman" w:eastAsia="仿宋_GB2312" w:cs="Times New Roman"/>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after="0" w:line="56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九、基本支出：</w:t>
      </w:r>
      <w:r>
        <w:rPr>
          <w:rFonts w:ascii="Times New Roman" w:hAnsi="Times New Roman" w:eastAsia="仿宋_GB2312" w:cs="Times New Roman"/>
          <w:sz w:val="32"/>
          <w:szCs w:val="32"/>
          <w:lang w:eastAsia="zh-CN"/>
        </w:rPr>
        <w:t>指为保障机构正常运转、完成日常工作任务而发生的人员支出和公用支出。</w:t>
      </w:r>
    </w:p>
    <w:p>
      <w:pPr>
        <w:spacing w:after="0" w:line="56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十、项目支出：</w:t>
      </w:r>
      <w:r>
        <w:rPr>
          <w:rFonts w:ascii="Times New Roman" w:hAnsi="Times New Roman" w:eastAsia="仿宋_GB2312" w:cs="Times New Roman"/>
          <w:sz w:val="32"/>
          <w:szCs w:val="32"/>
          <w:lang w:eastAsia="zh-CN"/>
        </w:rPr>
        <w:t>指在基本支出之外为完成特定行政任务和事业发展目标所发生的支出。</w:t>
      </w:r>
    </w:p>
    <w:p>
      <w:pPr>
        <w:spacing w:after="0" w:line="56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十一、经营支出：</w:t>
      </w:r>
      <w:r>
        <w:rPr>
          <w:rFonts w:ascii="Times New Roman" w:hAnsi="Times New Roman" w:eastAsia="仿宋_GB2312" w:cs="Times New Roman"/>
          <w:sz w:val="32"/>
          <w:szCs w:val="32"/>
          <w:lang w:eastAsia="zh-CN"/>
        </w:rPr>
        <w:t>指事业单位在专业业务活动及其辅助活动之外开展非独立核算经营活动发生的支出。</w:t>
      </w:r>
    </w:p>
    <w:p>
      <w:pPr>
        <w:spacing w:after="0" w:line="56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十二、对附属单位补助支出：</w:t>
      </w:r>
      <w:r>
        <w:rPr>
          <w:rFonts w:ascii="Times New Roman" w:hAnsi="Times New Roman" w:eastAsia="仿宋_GB2312" w:cs="Times New Roman"/>
          <w:sz w:val="32"/>
          <w:szCs w:val="32"/>
          <w:lang w:eastAsia="zh-CN"/>
        </w:rPr>
        <w:t>指事业单位发生的用非财政预算资金对附属单位的补助支出。</w:t>
      </w:r>
    </w:p>
    <w:p>
      <w:pPr>
        <w:spacing w:after="0" w:line="56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十三、“三公”经费：</w:t>
      </w:r>
      <w:r>
        <w:rPr>
          <w:rFonts w:ascii="Times New Roman" w:hAnsi="Times New Roman" w:eastAsia="仿宋_GB2312" w:cs="Times New Roman"/>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after="0" w:line="56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十四、机关运行经费：</w:t>
      </w:r>
      <w:r>
        <w:rPr>
          <w:rFonts w:ascii="Times New Roman" w:hAnsi="Times New Roman" w:eastAsia="仿宋_GB2312" w:cs="Times New Roman"/>
          <w:sz w:val="32"/>
          <w:szCs w:val="32"/>
          <w:lang w:eastAsia="zh-CN"/>
        </w:rPr>
        <w:t>行政单位和参照公务员法管理的事业单位财政拨款基本支出中的公用经费支出。</w:t>
      </w:r>
    </w:p>
    <w:p>
      <w:pPr>
        <w:spacing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br w:type="page"/>
      </w:r>
    </w:p>
    <w:p>
      <w:pPr>
        <w:spacing w:after="0" w:line="560" w:lineRule="exact"/>
        <w:jc w:val="center"/>
        <w:outlineLvl w:val="0"/>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第四部分部门决算报表（见附表）</w:t>
      </w:r>
    </w:p>
    <w:p>
      <w:pPr>
        <w:spacing w:after="0" w:line="560" w:lineRule="exact"/>
        <w:ind w:firstLine="640" w:firstLineChars="200"/>
        <w:outlineLvl w:val="1"/>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一、《收入支出决算总表》</w:t>
      </w:r>
    </w:p>
    <w:p>
      <w:pPr>
        <w:spacing w:after="0" w:line="560" w:lineRule="exact"/>
        <w:ind w:firstLine="640" w:firstLineChars="200"/>
        <w:outlineLvl w:val="1"/>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二、《收入决算表》</w:t>
      </w:r>
    </w:p>
    <w:p>
      <w:pPr>
        <w:spacing w:after="0" w:line="560" w:lineRule="exact"/>
        <w:ind w:firstLine="640" w:firstLineChars="200"/>
        <w:outlineLvl w:val="1"/>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三、《支出决算表》</w:t>
      </w:r>
    </w:p>
    <w:p>
      <w:pPr>
        <w:spacing w:after="0" w:line="560" w:lineRule="exact"/>
        <w:ind w:firstLine="640" w:firstLineChars="200"/>
        <w:outlineLvl w:val="1"/>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四、《财政拨款收入支出决算总表》</w:t>
      </w:r>
    </w:p>
    <w:p>
      <w:pPr>
        <w:spacing w:after="0" w:line="560" w:lineRule="exact"/>
        <w:ind w:firstLine="640" w:firstLineChars="200"/>
        <w:outlineLvl w:val="1"/>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五、《一般公共预算财政拨款支出决算表》</w:t>
      </w:r>
    </w:p>
    <w:p>
      <w:pPr>
        <w:spacing w:after="0" w:line="560" w:lineRule="exact"/>
        <w:ind w:firstLine="640" w:firstLineChars="200"/>
        <w:outlineLvl w:val="1"/>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六、《一般公共预算财政拨款基本支出决算表》</w:t>
      </w:r>
    </w:p>
    <w:p>
      <w:pPr>
        <w:spacing w:after="0" w:line="560" w:lineRule="exact"/>
        <w:ind w:firstLine="640" w:firstLineChars="200"/>
        <w:outlineLvl w:val="1"/>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七、《政府性基金预算财政拨款收入支出决算表》</w:t>
      </w:r>
    </w:p>
    <w:p>
      <w:pPr>
        <w:spacing w:after="0" w:line="560" w:lineRule="exact"/>
        <w:ind w:firstLine="640" w:firstLineChars="200"/>
        <w:outlineLvl w:val="1"/>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八、《国有资本经营预算财政拨款收入支出决算表》</w:t>
      </w:r>
    </w:p>
    <w:p>
      <w:pPr>
        <w:spacing w:after="0" w:line="560" w:lineRule="exact"/>
        <w:ind w:firstLine="640" w:firstLineChars="200"/>
        <w:outlineLvl w:val="1"/>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九、《财政拨款“三公”经费支出决算表》</w:t>
      </w:r>
    </w:p>
    <w:sectPr>
      <w:footerReference r:id="rId5" w:type="default"/>
      <w:pgSz w:w="12240" w:h="15840"/>
      <w:pgMar w:top="2098" w:right="1531" w:bottom="1985" w:left="1531" w:header="720" w:footer="720" w:gutter="0"/>
      <w:pgNumType w:fmt="numberInDash" w:start="1"/>
      <w:cols w:space="720" w:num="1"/>
      <w:docGrid w:linePitch="29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0000000" w:usb3="00000000" w:csb0="0000019F" w:csb1="00000000"/>
  </w:font>
  <w:font w:name="Noto Sans Syriac Eastern">
    <w:panose1 w:val="02040503050306020203"/>
    <w:charset w:val="86"/>
    <w:family w:val="auto"/>
    <w:pitch w:val="default"/>
    <w:sig w:usb0="00000000" w:usb1="00000000" w:usb2="00000080" w:usb3="00000000" w:csb0="203E0161" w:csb1="D7FF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w:pict>
        <v:shape id="_x0000_s4097" o:spid="_x0000_s4097" o:spt="202" type="#_x0000_t202" style="position:absolute;left:0pt;margin-left:420.05pt;margin-top:0pt;height:144pt;width:38.85pt;mso-position-horizontal-relative:margin;z-index:251659264;mso-width-relative:page;mso-height-relative:page;" filled="f" stroked="f" coordsize="21600,21600">
          <v:path/>
          <v:fill on="f" focussize="0,0"/>
          <v:stroke on="f"/>
          <v:imagedata o:title=""/>
          <o:lock v:ext="edit" aspectratio="f"/>
          <v:textbox inset="0mm,0mm,0mm,0mm" style="mso-fit-shape-to-text:t;">
            <w:txbxContent>
              <w:p>
                <w:pPr>
                  <w:pStyle w:val="8"/>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decimal"/>
      <w:suff w:val="nothing"/>
      <w:lvlText w:val="%1."/>
      <w:lvlJc w:val="left"/>
      <w:pPr>
        <w:spacing w:before="0" w:beforeLines="0" w:beforeAutospacing="0" w:line="240" w:lineRule="auto"/>
        <w:ind w:firstLine="640" w:firstLineChars="200"/>
      </w:pPr>
    </w:lvl>
    <w:lvl w:ilvl="1" w:tentative="0">
      <w:start w:val="1"/>
      <w:numFmt w:val="decimal"/>
      <w:suff w:val="nothing"/>
      <w:lvlText w:val="%1.%2."/>
      <w:lvlJc w:val="left"/>
      <w:pPr>
        <w:spacing w:before="0" w:beforeLines="0" w:beforeAutospacing="0" w:line="240" w:lineRule="auto"/>
        <w:ind w:firstLine="640" w:firstLineChars="200"/>
      </w:pPr>
    </w:lvl>
    <w:lvl w:ilvl="2" w:tentative="0">
      <w:start w:val="1"/>
      <w:numFmt w:val="decimal"/>
      <w:suff w:val="nothing"/>
      <w:lvlText w:val="%1.%2.%3."/>
      <w:lvlJc w:val="left"/>
      <w:pPr>
        <w:ind w:left="0" w:firstLine="0"/>
      </w:p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420"/>
  <w:noPunctuationKerning w:val="1"/>
  <w:characterSpacingControl w:val="doNotCompress"/>
  <w:hdrShapeDefaults>
    <o:shapelayout v:ext="edit">
      <o:idmap v:ext="edit" data="3,4"/>
    </o:shapelayout>
  </w:hdrShapeDefault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2"/>
    <w:compatSetting w:name="overrideTableStyleFontSizeAndJustification" w:uri="http://schemas.microsoft.com/office/word" w:val="1"/>
  </w:compat>
  <w:rsids>
    <w:rsidRoot w:val="0072407E"/>
    <w:rsid w:val="00675C77"/>
    <w:rsid w:val="0072407E"/>
    <w:rsid w:val="00763FA3"/>
    <w:rsid w:val="007D3C2C"/>
    <w:rsid w:val="00811E6C"/>
    <w:rsid w:val="4F7F76BE"/>
    <w:rsid w:val="6410456B"/>
    <w:rsid w:val="645F7EBD"/>
    <w:rsid w:val="77D449ED"/>
    <w:rsid w:val="DBEE4B22"/>
    <w:rsid w:val="FFDB7D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footer"/>
    <w:basedOn w:val="1"/>
    <w:semiHidden/>
    <w:unhideWhenUsed/>
    <w:qFormat/>
    <w:uiPriority w:val="99"/>
    <w:pPr>
      <w:tabs>
        <w:tab w:val="center" w:pos="4153"/>
        <w:tab w:val="right" w:pos="8306"/>
      </w:tabs>
      <w:snapToGrid w:val="0"/>
      <w:jc w:val="left"/>
    </w:pPr>
    <w:rPr>
      <w:sz w:val="18"/>
    </w:r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1">
    <w:name w:val="Title"/>
    <w:basedOn w:val="1"/>
    <w:next w:val="1"/>
    <w:link w:val="23"/>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3">
    <w:name w:val="Table Grid"/>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5">
    <w:name w:val="Emphasis"/>
    <w:basedOn w:val="14"/>
    <w:qFormat/>
    <w:uiPriority w:val="20"/>
    <w:rPr>
      <w:i/>
      <w:iCs/>
    </w:rPr>
  </w:style>
  <w:style w:type="character" w:styleId="16">
    <w:name w:val="Hyperlink"/>
    <w:basedOn w:val="14"/>
    <w:unhideWhenUsed/>
    <w:qFormat/>
    <w:uiPriority w:val="99"/>
    <w:rPr>
      <w:color w:val="0000FF" w:themeColor="hyperlink"/>
      <w:u w:val="single"/>
    </w:rPr>
  </w:style>
  <w:style w:type="character" w:customStyle="1" w:styleId="17">
    <w:name w:val="页眉 Char"/>
    <w:basedOn w:val="14"/>
    <w:link w:val="9"/>
    <w:qFormat/>
    <w:uiPriority w:val="99"/>
  </w:style>
  <w:style w:type="character" w:customStyle="1" w:styleId="18">
    <w:name w:val="标题 1 Char"/>
    <w:basedOn w:val="14"/>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9">
    <w:name w:val="标题 2 Char"/>
    <w:basedOn w:val="14"/>
    <w:link w:val="3"/>
    <w:qFormat/>
    <w:uiPriority w:val="9"/>
    <w:rPr>
      <w:rFonts w:asciiTheme="majorHAnsi" w:hAnsiTheme="majorHAnsi" w:eastAsiaTheme="majorEastAsia" w:cstheme="majorBidi"/>
      <w:b/>
      <w:bCs/>
      <w:color w:val="4F81BD" w:themeColor="accent1"/>
      <w:sz w:val="26"/>
      <w:szCs w:val="26"/>
    </w:rPr>
  </w:style>
  <w:style w:type="character" w:customStyle="1" w:styleId="20">
    <w:name w:val="标题 3 Char"/>
    <w:basedOn w:val="14"/>
    <w:link w:val="4"/>
    <w:qFormat/>
    <w:uiPriority w:val="9"/>
    <w:rPr>
      <w:rFonts w:asciiTheme="majorHAnsi" w:hAnsiTheme="majorHAnsi" w:eastAsiaTheme="majorEastAsia" w:cstheme="majorBidi"/>
      <w:b/>
      <w:bCs/>
      <w:color w:val="4F81BD" w:themeColor="accent1"/>
    </w:rPr>
  </w:style>
  <w:style w:type="character" w:customStyle="1" w:styleId="21">
    <w:name w:val="标题 4 Char"/>
    <w:basedOn w:val="14"/>
    <w:link w:val="5"/>
    <w:qFormat/>
    <w:uiPriority w:val="9"/>
    <w:rPr>
      <w:rFonts w:asciiTheme="majorHAnsi" w:hAnsiTheme="majorHAnsi" w:eastAsiaTheme="majorEastAsia" w:cstheme="majorBidi"/>
      <w:b/>
      <w:bCs/>
      <w:i/>
      <w:iCs/>
      <w:color w:val="4F81BD" w:themeColor="accent1"/>
    </w:rPr>
  </w:style>
  <w:style w:type="character" w:customStyle="1" w:styleId="22">
    <w:name w:val="副标题 Char"/>
    <w:basedOn w:val="14"/>
    <w:link w:val="10"/>
    <w:qFormat/>
    <w:uiPriority w:val="11"/>
    <w:rPr>
      <w:rFonts w:asciiTheme="majorHAnsi" w:hAnsiTheme="majorHAnsi" w:eastAsiaTheme="majorEastAsia" w:cstheme="majorBidi"/>
      <w:i/>
      <w:iCs/>
      <w:color w:val="4F81BD" w:themeColor="accent1"/>
      <w:spacing w:val="15"/>
      <w:sz w:val="24"/>
      <w:szCs w:val="24"/>
    </w:rPr>
  </w:style>
  <w:style w:type="character" w:customStyle="1" w:styleId="23">
    <w:name w:val="标题 Char"/>
    <w:basedOn w:val="14"/>
    <w:link w:val="11"/>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1004</Words>
  <Characters>5723</Characters>
  <Lines>47</Lines>
  <Paragraphs>13</Paragraphs>
  <TotalTime>4</TotalTime>
  <ScaleCrop>false</ScaleCrop>
  <LinksUpToDate>false</LinksUpToDate>
  <CharactersWithSpaces>6714</CharactersWithSpaces>
  <Application>WPS Office_11.8.2.11958_F1E327BC-269C-435d-A152-05C5408002CA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2025-08-19T03:17:00Z</dcterms:created>
  <dc:creator>admin</dc:creator>
  <cp:lastModifiedBy>fgw</cp:lastModifiedBy>
  <dcterms:modified xsi:type="dcterms:W3CDTF">2025-08-28T10:41:24Z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eyJoZGlkIjoiZTM3ZDYwNjg1ZjU0OWUzODg2NDlmOWVjNTUxNzAxMzIifQ==</vt:lpwstr>
  </property>
  <property fmtid="{D5CDD505-2E9C-101B-9397-08002B2CF9AE}" pid="3" name="KSOProductBuildVer">
    <vt:lpwstr>2052-11.8.2.11958</vt:lpwstr>
  </property>
  <property fmtid="{D5CDD505-2E9C-101B-9397-08002B2CF9AE}" pid="4" name="ICV">
    <vt:lpwstr>56BC88F37DE24CFAA7C4395CEE126387_12</vt:lpwstr>
  </property>
</Properties>
</file>