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default" w:ascii="Times New Roman" w:hAnsi="Times New Roman" w:eastAsia="方正小标宋_GBK" w:cs="Times New Roman"/>
          <w:b/>
          <w:kern w:val="0"/>
          <w:sz w:val="48"/>
          <w:szCs w:val="48"/>
        </w:rPr>
      </w:pPr>
      <w:r>
        <w:rPr>
          <w:rFonts w:hint="eastAsia" w:ascii="方正小标宋_GBK" w:hAnsi="华文中宋" w:eastAsia="方正小标宋_GBK" w:cs="宋体"/>
          <w:b/>
          <w:kern w:val="0"/>
          <w:sz w:val="48"/>
          <w:szCs w:val="48"/>
          <w:lang w:eastAsia="zh-CN"/>
        </w:rPr>
        <w:t>新疆维吾尔</w:t>
      </w:r>
      <w:r>
        <w:rPr>
          <w:rFonts w:hint="eastAsia" w:ascii="方正小标宋_GBK" w:hAnsi="华文中宋" w:eastAsia="方正小标宋_GBK" w:cs="宋体"/>
          <w:b/>
          <w:kern w:val="0"/>
          <w:sz w:val="48"/>
          <w:szCs w:val="48"/>
        </w:rPr>
        <w:t>自治区发展</w:t>
      </w:r>
      <w:r>
        <w:rPr>
          <w:rFonts w:hint="eastAsia" w:ascii="方正小标宋_GBK" w:hAnsi="华文中宋" w:eastAsia="方正小标宋_GBK" w:cs="宋体"/>
          <w:b/>
          <w:kern w:val="0"/>
          <w:sz w:val="48"/>
          <w:szCs w:val="48"/>
          <w:lang w:eastAsia="zh-CN"/>
        </w:rPr>
        <w:t>和</w:t>
      </w:r>
      <w:r>
        <w:rPr>
          <w:rFonts w:hint="eastAsia" w:ascii="方正小标宋_GBK" w:hAnsi="华文中宋" w:eastAsia="方正小标宋_GBK" w:cs="宋体"/>
          <w:b/>
          <w:kern w:val="0"/>
          <w:sz w:val="48"/>
          <w:szCs w:val="48"/>
        </w:rPr>
        <w:t>改革</w:t>
      </w:r>
      <w:r>
        <w:rPr>
          <w:rFonts w:hint="eastAsia" w:ascii="方正小标宋_GBK" w:hAnsi="华文中宋" w:eastAsia="方正小标宋_GBK" w:cs="宋体"/>
          <w:b/>
          <w:kern w:val="0"/>
          <w:sz w:val="48"/>
          <w:szCs w:val="48"/>
          <w:lang w:eastAsia="zh-CN"/>
        </w:rPr>
        <w:t>委员会</w:t>
      </w:r>
      <w:r>
        <w:rPr>
          <w:rFonts w:hint="default" w:ascii="Times New Roman" w:hAnsi="Times New Roman" w:eastAsia="方正小标宋_GBK" w:cs="Times New Roman"/>
          <w:b/>
          <w:kern w:val="0"/>
          <w:sz w:val="48"/>
          <w:szCs w:val="48"/>
          <w:lang w:val="en-US" w:eastAsia="zh-CN"/>
        </w:rPr>
        <w:t>2025年度</w:t>
      </w:r>
      <w:r>
        <w:rPr>
          <w:rFonts w:hint="default" w:ascii="Times New Roman" w:hAnsi="Times New Roman" w:eastAsia="方正小标宋_GBK" w:cs="Times New Roman"/>
          <w:b/>
          <w:kern w:val="0"/>
          <w:sz w:val="48"/>
          <w:szCs w:val="48"/>
        </w:rPr>
        <w:t>部门整体支出绩效</w:t>
      </w:r>
    </w:p>
    <w:p>
      <w:pPr>
        <w:spacing w:line="540" w:lineRule="exact"/>
        <w:jc w:val="center"/>
        <w:rPr>
          <w:rFonts w:hint="default" w:ascii="Times New Roman" w:hAnsi="Times New Roman" w:eastAsia="方正小标宋_GBK" w:cs="Times New Roman"/>
          <w:b/>
          <w:kern w:val="0"/>
          <w:sz w:val="48"/>
          <w:szCs w:val="48"/>
        </w:rPr>
      </w:pPr>
      <w:r>
        <w:rPr>
          <w:rFonts w:hint="default" w:ascii="Times New Roman" w:hAnsi="Times New Roman" w:eastAsia="方正小标宋_GBK" w:cs="Times New Roman"/>
          <w:b/>
          <w:kern w:val="0"/>
          <w:sz w:val="48"/>
          <w:szCs w:val="48"/>
        </w:rPr>
        <w:t>自评报告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（2025年度）</w:t>
      </w:r>
    </w:p>
    <w:p>
      <w:pPr>
        <w:spacing w:line="540" w:lineRule="exact"/>
        <w:jc w:val="center"/>
        <w:rPr>
          <w:rStyle w:val="9"/>
          <w:rFonts w:hint="default" w:ascii="Times New Roman" w:hAnsi="Times New Roman" w:cs="Times New Roman"/>
        </w:rPr>
      </w:pPr>
    </w:p>
    <w:p>
      <w:pPr>
        <w:spacing w:line="540" w:lineRule="exact"/>
        <w:jc w:val="center"/>
        <w:rPr>
          <w:rFonts w:ascii="Times New Roman" w:hAnsi="Times New Roman" w:eastAsia="仿宋_GB2312" w:cs="Times New Roman"/>
          <w:kern w:val="0"/>
          <w:sz w:val="30"/>
          <w:szCs w:val="30"/>
        </w:rPr>
      </w:pPr>
    </w:p>
    <w:p>
      <w:pPr>
        <w:spacing w:line="540" w:lineRule="exact"/>
        <w:jc w:val="center"/>
        <w:rPr>
          <w:rFonts w:ascii="Times New Roman" w:hAnsi="Times New Roman" w:eastAsia="仿宋_GB2312" w:cs="Times New Roman"/>
          <w:kern w:val="0"/>
          <w:sz w:val="30"/>
          <w:szCs w:val="30"/>
        </w:rPr>
      </w:pPr>
    </w:p>
    <w:p>
      <w:pPr>
        <w:spacing w:line="540" w:lineRule="exact"/>
        <w:jc w:val="center"/>
        <w:rPr>
          <w:rFonts w:ascii="Times New Roman" w:hAnsi="Times New Roman" w:eastAsia="仿宋_GB2312" w:cs="Times New Roman"/>
          <w:kern w:val="0"/>
          <w:sz w:val="30"/>
          <w:szCs w:val="30"/>
        </w:rPr>
      </w:pPr>
    </w:p>
    <w:p>
      <w:pPr>
        <w:spacing w:line="540" w:lineRule="exact"/>
        <w:jc w:val="center"/>
        <w:rPr>
          <w:rFonts w:ascii="Times New Roman" w:hAnsi="Times New Roman" w:eastAsia="仿宋_GB2312" w:cs="Times New Roman"/>
          <w:kern w:val="0"/>
          <w:sz w:val="30"/>
          <w:szCs w:val="30"/>
        </w:rPr>
      </w:pPr>
    </w:p>
    <w:p>
      <w:pPr>
        <w:spacing w:line="540" w:lineRule="exact"/>
        <w:rPr>
          <w:rFonts w:ascii="Times New Roman" w:hAnsi="Times New Roman" w:eastAsia="仿宋_GB2312" w:cs="Times New Roman"/>
          <w:kern w:val="0"/>
          <w:sz w:val="30"/>
          <w:szCs w:val="30"/>
        </w:rPr>
      </w:pPr>
    </w:p>
    <w:p>
      <w:pPr>
        <w:spacing w:line="700" w:lineRule="exact"/>
        <w:jc w:val="left"/>
        <w:rPr>
          <w:rFonts w:ascii="Times New Roman" w:hAnsi="Times New Roman" w:eastAsia="仿宋_GB2312" w:cs="Times New Roman"/>
          <w:kern w:val="0"/>
          <w:sz w:val="36"/>
          <w:szCs w:val="36"/>
        </w:rPr>
      </w:pPr>
      <w:r>
        <w:rPr>
          <w:rFonts w:ascii="Times New Roman" w:hAnsi="Times New Roman" w:eastAsia="仿宋_GB2312" w:cs="Times New Roman"/>
          <w:kern w:val="0"/>
          <w:sz w:val="36"/>
          <w:szCs w:val="36"/>
        </w:rPr>
        <w:t xml:space="preserve">  </w:t>
      </w:r>
    </w:p>
    <w:p>
      <w:pPr>
        <w:spacing w:line="700" w:lineRule="exact"/>
        <w:jc w:val="left"/>
        <w:rPr>
          <w:rFonts w:ascii="Times New Roman" w:hAnsi="Times New Roman" w:eastAsia="仿宋_GB2312" w:cs="Times New Roman"/>
          <w:kern w:val="0"/>
          <w:sz w:val="30"/>
          <w:szCs w:val="30"/>
        </w:rPr>
      </w:pPr>
      <w:r>
        <w:rPr>
          <w:rFonts w:ascii="Times New Roman" w:hAnsi="Times New Roman" w:eastAsia="仿宋_GB2312" w:cs="Times New Roman"/>
          <w:kern w:val="0"/>
          <w:sz w:val="32"/>
          <w:szCs w:val="32"/>
        </w:rPr>
        <w:t>部门单位名称（公章）：</w:t>
      </w:r>
      <w:r>
        <w:rPr>
          <w:rFonts w:ascii="Times New Roman" w:hAnsi="Times New Roman" w:eastAsia="仿宋_GB2312" w:cs="Times New Roman"/>
          <w:kern w:val="0"/>
          <w:sz w:val="30"/>
          <w:szCs w:val="30"/>
        </w:rPr>
        <w:t>新疆维吾尔自治区发展和改革委员会</w:t>
      </w:r>
    </w:p>
    <w:p>
      <w:pPr>
        <w:spacing w:line="700" w:lineRule="exact"/>
        <w:jc w:val="left"/>
        <w:rPr>
          <w:rFonts w:ascii="Times New Roman" w:hAnsi="Times New Roman" w:eastAsia="仿宋_GB2312" w:cs="Times New Roman"/>
          <w:kern w:val="0"/>
          <w:sz w:val="30"/>
          <w:szCs w:val="30"/>
        </w:rPr>
      </w:pPr>
      <w:r>
        <w:rPr>
          <w:rFonts w:ascii="Times New Roman" w:hAnsi="Times New Roman" w:eastAsia="仿宋_GB2312" w:cs="Times New Roman"/>
          <w:kern w:val="0"/>
          <w:sz w:val="32"/>
          <w:szCs w:val="32"/>
        </w:rPr>
        <w:t>填</w:t>
      </w:r>
      <w:r>
        <w:rPr>
          <w:rFonts w:hint="eastAsia" w:ascii="Times New Roman" w:hAnsi="Times New Roman" w:eastAsia="仿宋_GB2312" w:cs="Times New Roman"/>
          <w:kern w:val="0"/>
          <w:sz w:val="32"/>
          <w:szCs w:val="32"/>
        </w:rPr>
        <w:t xml:space="preserve">    </w:t>
      </w:r>
      <w:r>
        <w:rPr>
          <w:rFonts w:ascii="Times New Roman" w:hAnsi="Times New Roman" w:eastAsia="仿宋_GB2312" w:cs="Times New Roman"/>
          <w:kern w:val="0"/>
          <w:sz w:val="32"/>
          <w:szCs w:val="32"/>
        </w:rPr>
        <w:t>报</w:t>
      </w:r>
      <w:r>
        <w:rPr>
          <w:rFonts w:hint="eastAsia" w:ascii="Times New Roman" w:hAnsi="Times New Roman" w:eastAsia="仿宋_GB2312" w:cs="Times New Roman"/>
          <w:kern w:val="0"/>
          <w:sz w:val="32"/>
          <w:szCs w:val="32"/>
        </w:rPr>
        <w:t xml:space="preserve">    </w:t>
      </w:r>
      <w:r>
        <w:rPr>
          <w:rFonts w:ascii="Times New Roman" w:hAnsi="Times New Roman" w:eastAsia="仿宋_GB2312" w:cs="Times New Roman"/>
          <w:kern w:val="0"/>
          <w:sz w:val="32"/>
          <w:szCs w:val="32"/>
        </w:rPr>
        <w:t>时</w:t>
      </w:r>
      <w:r>
        <w:rPr>
          <w:rFonts w:hint="eastAsia" w:ascii="Times New Roman" w:hAnsi="Times New Roman" w:eastAsia="仿宋_GB2312" w:cs="Times New Roman"/>
          <w:kern w:val="0"/>
          <w:sz w:val="32"/>
          <w:szCs w:val="32"/>
        </w:rPr>
        <w:t xml:space="preserve">    </w:t>
      </w:r>
      <w:r>
        <w:rPr>
          <w:rFonts w:ascii="Times New Roman" w:hAnsi="Times New Roman" w:eastAsia="仿宋_GB2312" w:cs="Times New Roman"/>
          <w:kern w:val="0"/>
          <w:sz w:val="32"/>
          <w:szCs w:val="32"/>
        </w:rPr>
        <w:t>间：</w:t>
      </w:r>
      <w:r>
        <w:rPr>
          <w:rFonts w:ascii="Times New Roman" w:hAnsi="Times New Roman" w:eastAsia="仿宋_GB2312" w:cs="Times New Roman"/>
          <w:kern w:val="0"/>
          <w:sz w:val="30"/>
          <w:szCs w:val="30"/>
        </w:rPr>
        <w:t>2026年4月10日</w:t>
      </w:r>
    </w:p>
    <w:p>
      <w:pPr>
        <w:spacing w:line="700" w:lineRule="exact"/>
        <w:ind w:firstLine="708" w:firstLineChars="236"/>
        <w:jc w:val="left"/>
        <w:rPr>
          <w:rFonts w:ascii="Times New Roman" w:hAnsi="Times New Roman" w:eastAsia="仿宋_GB2312" w:cs="Times New Roman"/>
          <w:kern w:val="0"/>
          <w:sz w:val="30"/>
          <w:szCs w:val="30"/>
        </w:rPr>
      </w:pPr>
    </w:p>
    <w:p>
      <w:pPr>
        <w:spacing w:line="700" w:lineRule="exact"/>
        <w:ind w:firstLine="849" w:firstLineChars="236"/>
        <w:jc w:val="left"/>
        <w:rPr>
          <w:rFonts w:ascii="Times New Roman" w:hAnsi="Times New Roman" w:eastAsia="仿宋_GB2312" w:cs="Times New Roman"/>
          <w:kern w:val="0"/>
          <w:sz w:val="36"/>
          <w:szCs w:val="36"/>
        </w:rPr>
      </w:pP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numPr>
          <w:ilvl w:val="0"/>
          <w:numId w:val="1"/>
        </w:numPr>
        <w:spacing w:line="560" w:lineRule="exact"/>
        <w:ind w:firstLine="640" w:firstLineChars="200"/>
        <w:rPr>
          <w:rFonts w:ascii="黑体" w:hAnsi="黑体" w:eastAsia="黑体" w:cs="Times New Roman"/>
          <w:sz w:val="32"/>
          <w:szCs w:val="32"/>
        </w:rPr>
      </w:pPr>
      <w:r>
        <w:rPr>
          <w:rFonts w:ascii="黑体" w:hAnsi="黑体" w:eastAsia="黑体" w:cs="Times New Roman"/>
          <w:sz w:val="32"/>
          <w:szCs w:val="32"/>
        </w:rPr>
        <w:t>基本概况</w:t>
      </w:r>
    </w:p>
    <w:p>
      <w:pPr>
        <w:spacing w:line="540" w:lineRule="exact"/>
        <w:ind w:firstLine="564" w:firstLineChars="181"/>
        <w:rPr>
          <w:rStyle w:val="9"/>
          <w:rFonts w:ascii="楷体" w:hAnsi="楷体" w:eastAsia="楷体" w:cs="Times New Roman"/>
          <w:b w:val="0"/>
          <w:bCs w:val="0"/>
          <w:spacing w:val="-4"/>
          <w:sz w:val="32"/>
          <w:szCs w:val="32"/>
        </w:rPr>
      </w:pPr>
      <w:r>
        <w:rPr>
          <w:rStyle w:val="9"/>
          <w:rFonts w:ascii="楷体" w:hAnsi="楷体" w:eastAsia="楷体" w:cs="Times New Roman"/>
          <w:b w:val="0"/>
          <w:bCs w:val="0"/>
          <w:spacing w:val="-4"/>
          <w:sz w:val="32"/>
          <w:szCs w:val="32"/>
        </w:rPr>
        <w:t>(一)部门基本情况</w:t>
      </w:r>
    </w:p>
    <w:p>
      <w:pPr>
        <w:pStyle w:val="13"/>
        <w:snapToGrid w:val="0"/>
        <w:spacing w:line="560" w:lineRule="exact"/>
        <w:ind w:firstLine="640"/>
        <w:outlineLvl w:val="2"/>
        <w:rPr>
          <w:rStyle w:val="9"/>
          <w:rFonts w:ascii="Times New Roman" w:hAnsi="Times New Roman" w:eastAsia="仿宋_GB2312" w:cs="Times New Roman"/>
          <w:b w:val="0"/>
          <w:bCs w:val="0"/>
          <w:sz w:val="32"/>
          <w:szCs w:val="32"/>
          <w:lang w:bidi="ar"/>
        </w:rPr>
      </w:pPr>
      <w:r>
        <w:rPr>
          <w:rStyle w:val="9"/>
          <w:rFonts w:ascii="Times New Roman" w:hAnsi="Times New Roman" w:eastAsia="仿宋_GB2312" w:cs="Times New Roman"/>
          <w:b w:val="0"/>
          <w:sz w:val="32"/>
          <w:szCs w:val="32"/>
          <w:lang w:bidi="ar"/>
        </w:rPr>
        <w:t>1.部门主要职能</w:t>
      </w:r>
    </w:p>
    <w:p>
      <w:pPr>
        <w:pStyle w:val="15"/>
        <w:spacing w:line="560" w:lineRule="exact"/>
        <w:ind w:firstLine="640"/>
        <w:rPr>
          <w:rFonts w:eastAsia="仿宋_GB2312"/>
          <w:color w:val="000000"/>
          <w:sz w:val="32"/>
          <w:szCs w:val="32"/>
        </w:rPr>
      </w:pPr>
      <w:r>
        <w:rPr>
          <w:rFonts w:eastAsia="仿宋_GB2312"/>
          <w:color w:val="000000"/>
          <w:sz w:val="32"/>
          <w:szCs w:val="32"/>
        </w:rPr>
        <w:t>自治区发展和改革委员会是自治区人民政府组成部门，为正厅级。自治区发展和改革委员会贯彻落实自治区党委、自治区人民政府关于发展改革工作的方针政策和决策部署，在履行职责过程中坚持和加强党对发展改革工作的领导。</w:t>
      </w:r>
    </w:p>
    <w:p>
      <w:pPr>
        <w:pStyle w:val="15"/>
        <w:spacing w:line="560" w:lineRule="exact"/>
        <w:ind w:left="0" w:leftChars="0" w:firstLine="0" w:firstLineChars="0"/>
        <w:rPr>
          <w:rFonts w:eastAsia="仿宋_GB2312"/>
          <w:color w:val="000000"/>
          <w:sz w:val="32"/>
          <w:szCs w:val="32"/>
        </w:rPr>
      </w:pPr>
      <w:r>
        <w:rPr>
          <w:rFonts w:hint="eastAsia" w:eastAsia="仿宋_GB2312"/>
          <w:color w:val="000000"/>
          <w:sz w:val="32"/>
          <w:szCs w:val="32"/>
          <w:lang w:val="en-US" w:eastAsia="zh-CN"/>
        </w:rPr>
        <w:t xml:space="preserve">    </w:t>
      </w:r>
      <w:r>
        <w:rPr>
          <w:rFonts w:eastAsia="仿宋_GB2312"/>
          <w:color w:val="000000"/>
          <w:sz w:val="32"/>
          <w:szCs w:val="32"/>
        </w:rPr>
        <w:t>（1）提出自治区国民经济和社会发展战略、中长期规划和年度发展计划，贯彻执行国家的国民经济和社会发展方针、政策；统筹协调自治区经济社会发展，研究分析国内外、区内外经济形势，提出国民经济发展、价格总水平调控和优化重大经济结构的目标、政策及调控建议。牵头组织统一规划体系建设。负责自治区级发展规划、区域规划、空间规划与自治区发展规划的统筹衔接；起草国民经济和社会发展、经济体制改革和对外开放的有关法律法规草案，制定部门规章。</w:t>
      </w:r>
    </w:p>
    <w:p>
      <w:pPr>
        <w:pStyle w:val="15"/>
        <w:spacing w:line="560" w:lineRule="exact"/>
        <w:ind w:firstLine="640"/>
        <w:rPr>
          <w:rFonts w:eastAsia="仿宋_GB2312"/>
          <w:color w:val="000000"/>
          <w:sz w:val="32"/>
          <w:szCs w:val="32"/>
        </w:rPr>
      </w:pPr>
      <w:r>
        <w:rPr>
          <w:rFonts w:eastAsia="仿宋_GB2312"/>
          <w:color w:val="000000"/>
          <w:sz w:val="32"/>
          <w:szCs w:val="32"/>
        </w:rPr>
        <w:t>（2）提出加快建设现代化经济体系、推动高质量发展的总体目标、重大任务以及相关政策。组织开展重大战略规划、重大政策、重大工程等评估督导，提出相关调整建议。</w:t>
      </w:r>
    </w:p>
    <w:p>
      <w:pPr>
        <w:pStyle w:val="15"/>
        <w:spacing w:line="560" w:lineRule="exact"/>
        <w:ind w:firstLine="640"/>
        <w:rPr>
          <w:rFonts w:eastAsia="仿宋_GB2312"/>
          <w:color w:val="000000"/>
          <w:sz w:val="32"/>
          <w:szCs w:val="32"/>
        </w:rPr>
      </w:pPr>
      <w:r>
        <w:rPr>
          <w:rFonts w:eastAsia="仿宋_GB2312"/>
          <w:color w:val="000000"/>
          <w:sz w:val="32"/>
          <w:szCs w:val="32"/>
        </w:rPr>
        <w:t>（3）统筹提出国民经济和社会发展主要目标，监测预测预警宏观经济和社会发展态势趋势，提出宏观调控政策建议。综合协调宏观经济政策，牵头研究宏观经济应对措施。调节经济运行，协调解决经济运行中的重大问题。拟订并组织实施有关价格政策；组织制定少数由政府管理的重要商品、服务价格和收费项目、标准；参与拟订财政政策、金融政策和土地政策。</w:t>
      </w:r>
    </w:p>
    <w:p>
      <w:pPr>
        <w:pStyle w:val="15"/>
        <w:spacing w:line="560" w:lineRule="exact"/>
        <w:ind w:firstLine="640"/>
        <w:rPr>
          <w:rFonts w:eastAsia="仿宋_GB2312"/>
          <w:color w:val="000000"/>
          <w:sz w:val="32"/>
          <w:szCs w:val="32"/>
        </w:rPr>
      </w:pPr>
      <w:r>
        <w:rPr>
          <w:rFonts w:eastAsia="仿宋_GB2312"/>
          <w:color w:val="000000"/>
          <w:sz w:val="32"/>
          <w:szCs w:val="32"/>
        </w:rPr>
        <w:t>（4）指导推进和综合协调经济体制改革有关工作，提出相关改革建议。牵头推进供给侧结构性改革。协调推进产权制度和要素市场化配置改革。落实市场准入负面清单制度。牵头推进优化营商环境工作。</w:t>
      </w:r>
    </w:p>
    <w:p>
      <w:pPr>
        <w:widowControl/>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themeColor="text1"/>
          <w:kern w:val="0"/>
          <w:sz w:val="32"/>
          <w:szCs w:val="32"/>
          <w14:textFill>
            <w14:solidFill>
              <w14:schemeClr w14:val="tx1"/>
            </w14:solidFill>
          </w14:textFill>
        </w:rPr>
        <w:t>（5）</w:t>
      </w:r>
      <w:r>
        <w:rPr>
          <w:rFonts w:ascii="Times New Roman" w:hAnsi="Times New Roman" w:eastAsia="仿宋_GB2312" w:cs="Times New Roman"/>
          <w:color w:val="000000"/>
          <w:sz w:val="32"/>
          <w:szCs w:val="32"/>
        </w:rPr>
        <w:t>提出利用外资和境外投资的战略、规划、总量平衡和结构优化政策。牵头推进实施“一带一路”建设。承担统筹协调走出去有关工作。会同有关部门贯彻落实外商投资准入负面清单。</w:t>
      </w:r>
    </w:p>
    <w:p>
      <w:pPr>
        <w:widowControl/>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6）负责投资综合管理，拟订全社会固定资产投资总规模、结构性调控目标和政策，会同相关部门拟订政府投资项目审批权限和政府核准的固定资产投资项目目录。申报和下达中央预算内投资计划；安排自治区财政预算内固定资产投资计划，按规定权限审批、核准、备案、审核重大项目。规划重大建设项目和生产力布局。拟订并推动落实鼓励民间投资政策措施。</w:t>
      </w:r>
    </w:p>
    <w:p>
      <w:pPr>
        <w:widowControl/>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7）推进落实区域协调发展战略、新型城镇化战略和重大政策，组织拟订相关区域规划和政策。统筹推进实施国家重大区域发展战略。组织拟订和实施沿边及其他特殊困难地区发展规划和政策，组织实施易地扶贫搬迁等。统筹协调区域合作和对口支援工作。组织编制并推动实施新型城镇化规划。</w:t>
      </w:r>
    </w:p>
    <w:p>
      <w:pPr>
        <w:widowControl/>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8）组织拟订综合性产业政策。协调一二三产业发展重大问题并统筹衔接相关发展规划和重大政策。协调推进重大基础设施建设发展，组织拟订并推动实施服务业及现代物流业发展规划和相关政策。综合研判消费变动趋势，拟订实施促进消费的综合性政策措施。</w:t>
      </w:r>
    </w:p>
    <w:p>
      <w:pPr>
        <w:widowControl/>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9）推动实施创新驱动发展战略。会同相关部门拟订推进自治区创新创业的规划和政策，提出创新发展和培育经济发展新动能的政策。会同有关方面提出重大科技基础设施布局建议。组织拟订并推动实施高技术产业和战略性新兴产业发展规划和政策，协调产业升级、重大技术装备推广应用等方面的重大问题。</w:t>
      </w:r>
    </w:p>
    <w:p>
      <w:pPr>
        <w:widowControl/>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10）研判涉及经济安全、生态安全、资源安全、科技安全、社会安全等各类风险隐患，提出相关工作建议。承担经济、生态、资源等重点领域国家安全工作协调机制相关工作。负责重要商品总量平衡和宏观调控，落实重要工业品、原材料和重要农产品进出口调控政策并提出相关建议。会同有关部门执行国家储备物资品种目录、总体发展规划。</w:t>
      </w:r>
    </w:p>
    <w:p>
      <w:pPr>
        <w:pStyle w:val="15"/>
        <w:spacing w:line="560" w:lineRule="exact"/>
        <w:ind w:firstLine="640"/>
        <w:rPr>
          <w:rFonts w:eastAsia="仿宋_GB2312"/>
          <w:color w:val="000000"/>
          <w:sz w:val="32"/>
          <w:szCs w:val="32"/>
        </w:rPr>
      </w:pPr>
      <w:r>
        <w:rPr>
          <w:rFonts w:eastAsia="仿宋_GB2312"/>
          <w:color w:val="000000"/>
          <w:sz w:val="32"/>
          <w:szCs w:val="32"/>
        </w:rPr>
        <w:t>（11）负责自治区社会发展与国民经济发展的政策衔接，协调有关重大问题。组织拟订自治区社会发展战略、总体规划，统筹推进基本公共服务体系建设。提出促进就业、完善社会保障与经济协调发展的政策建议。统筹协调组织拟定促进民营经济发展的政策措施，协调解决民营经济发展重大问题，加强民营经济统筹管理。牵头开展社会信用体系建设。</w:t>
      </w:r>
    </w:p>
    <w:p>
      <w:pPr>
        <w:pStyle w:val="15"/>
        <w:spacing w:line="560" w:lineRule="exact"/>
        <w:ind w:firstLine="640"/>
        <w:rPr>
          <w:rFonts w:eastAsia="仿宋_GB2312"/>
          <w:color w:val="000000"/>
          <w:sz w:val="32"/>
          <w:szCs w:val="32"/>
        </w:rPr>
      </w:pPr>
      <w:r>
        <w:rPr>
          <w:rFonts w:eastAsia="仿宋_GB2312"/>
          <w:color w:val="000000" w:themeColor="text1"/>
          <w:kern w:val="0"/>
          <w:sz w:val="32"/>
          <w:szCs w:val="32"/>
          <w14:textFill>
            <w14:solidFill>
              <w14:schemeClr w14:val="tx1"/>
            </w14:solidFill>
          </w14:textFill>
        </w:rPr>
        <w:t>（12）</w:t>
      </w:r>
      <w:r>
        <w:rPr>
          <w:rFonts w:eastAsia="仿宋_GB2312"/>
          <w:color w:val="000000"/>
          <w:sz w:val="32"/>
          <w:szCs w:val="32"/>
        </w:rPr>
        <w:t>推进实施可持续发展战略，推动自治区生态文明建设和改革，协调生态环境保护与修复、能源资源节约和综合利用等工作。提出健全自治区生态保护补偿机制的政策措施，综合协调环保产业和清洁生产促进有关工作。提出自治区能源消费控制目标、任务并组织实施。</w:t>
      </w:r>
    </w:p>
    <w:p>
      <w:pPr>
        <w:pStyle w:val="15"/>
        <w:spacing w:line="560" w:lineRule="exact"/>
        <w:ind w:firstLine="640"/>
        <w:rPr>
          <w:rFonts w:eastAsia="仿宋_GB2312"/>
          <w:color w:val="000000"/>
          <w:sz w:val="32"/>
          <w:szCs w:val="32"/>
        </w:rPr>
      </w:pPr>
      <w:r>
        <w:rPr>
          <w:rFonts w:eastAsia="仿宋_GB2312"/>
          <w:color w:val="000000"/>
          <w:sz w:val="32"/>
          <w:szCs w:val="32"/>
        </w:rPr>
        <w:t>（13）研究制定自治区能源发展重大战略和政策建议；组织起草自治区能源管理的地方性法规和规章草案；拟订实施自治区能源发展总体规划、专项规划和年度计划；组织实施能源体制改革；按权限审核自治区能源行业固定资产投资项目；负责自治区重大能源项目的管理和组织协调；指导电力计划调度和市场交易；开展自治区能源国际国内合作；承担自治区石油、天然气管道保护；统筹做好煤矿、电力安全监督管理。</w:t>
      </w:r>
    </w:p>
    <w:p>
      <w:pPr>
        <w:pStyle w:val="15"/>
        <w:spacing w:line="560" w:lineRule="exact"/>
        <w:ind w:firstLine="640"/>
        <w:rPr>
          <w:rFonts w:eastAsia="仿宋_GB2312"/>
          <w:color w:val="000000"/>
          <w:sz w:val="32"/>
          <w:szCs w:val="32"/>
        </w:rPr>
      </w:pPr>
      <w:r>
        <w:rPr>
          <w:rFonts w:eastAsia="仿宋_GB2312"/>
          <w:color w:val="000000"/>
          <w:sz w:val="32"/>
          <w:szCs w:val="32"/>
        </w:rPr>
        <w:t>（14）贯彻落实对口支援新疆工作部际联席会议办公室各项政策措施，做好对口援疆工作综合协调、服务保障，组织开展对口援疆规划衔接平衡。</w:t>
      </w:r>
    </w:p>
    <w:p>
      <w:pPr>
        <w:pStyle w:val="15"/>
        <w:spacing w:line="560" w:lineRule="exact"/>
        <w:ind w:firstLine="640"/>
        <w:rPr>
          <w:rFonts w:eastAsia="仿宋_GB2312"/>
          <w:color w:val="000000"/>
          <w:sz w:val="32"/>
          <w:szCs w:val="32"/>
        </w:rPr>
      </w:pPr>
      <w:r>
        <w:rPr>
          <w:rFonts w:eastAsia="仿宋_GB2312"/>
          <w:color w:val="000000"/>
          <w:sz w:val="32"/>
          <w:szCs w:val="32"/>
        </w:rPr>
        <w:t>（15）承担自治区对口援疆协调领导小组办公室、自治区社会信用体系建设联席会议办公室、自治区西部开发领导小组办公室、自治区应对气候变化及节能减排工作领导小组等相关具体工作。</w:t>
      </w:r>
    </w:p>
    <w:p>
      <w:pPr>
        <w:pStyle w:val="15"/>
        <w:spacing w:line="560" w:lineRule="exact"/>
        <w:ind w:firstLine="640"/>
        <w:rPr>
          <w:rFonts w:eastAsia="仿宋_GB2312"/>
          <w:color w:val="000000"/>
          <w:sz w:val="32"/>
          <w:szCs w:val="32"/>
        </w:rPr>
      </w:pPr>
      <w:r>
        <w:rPr>
          <w:rFonts w:eastAsia="仿宋_GB2312"/>
          <w:color w:val="000000"/>
          <w:sz w:val="32"/>
          <w:szCs w:val="32"/>
        </w:rPr>
        <w:t>（16）管理自治区粮食和物资储备局。</w:t>
      </w:r>
    </w:p>
    <w:p>
      <w:pPr>
        <w:pStyle w:val="15"/>
        <w:spacing w:line="560" w:lineRule="exact"/>
        <w:ind w:firstLine="640"/>
        <w:rPr>
          <w:rFonts w:eastAsia="仿宋_GB2312"/>
          <w:color w:val="000000"/>
          <w:sz w:val="32"/>
          <w:szCs w:val="32"/>
        </w:rPr>
      </w:pPr>
      <w:r>
        <w:rPr>
          <w:rFonts w:eastAsia="仿宋_GB2312"/>
          <w:color w:val="000000"/>
          <w:sz w:val="32"/>
          <w:szCs w:val="32"/>
        </w:rPr>
        <w:t>（17）完成自治区党委、人民政府交办的其他任务。</w:t>
      </w:r>
    </w:p>
    <w:p>
      <w:pPr>
        <w:pStyle w:val="13"/>
        <w:snapToGrid w:val="0"/>
        <w:spacing w:line="560" w:lineRule="exact"/>
        <w:ind w:firstLine="640"/>
        <w:outlineLvl w:val="2"/>
        <w:rPr>
          <w:rStyle w:val="9"/>
          <w:rFonts w:ascii="Times New Roman" w:hAnsi="Times New Roman" w:eastAsia="仿宋_GB2312" w:cs="Times New Roman"/>
          <w:b w:val="0"/>
          <w:bCs w:val="0"/>
          <w:sz w:val="32"/>
          <w:szCs w:val="32"/>
          <w:lang w:bidi="ar"/>
        </w:rPr>
      </w:pPr>
      <w:r>
        <w:rPr>
          <w:rStyle w:val="9"/>
          <w:rFonts w:ascii="Times New Roman" w:hAnsi="Times New Roman" w:eastAsia="仿宋_GB2312" w:cs="Times New Roman"/>
          <w:b w:val="0"/>
          <w:sz w:val="32"/>
          <w:szCs w:val="32"/>
          <w:lang w:bidi="ar"/>
        </w:rPr>
        <w:t>2.部门机构设置</w:t>
      </w:r>
    </w:p>
    <w:p>
      <w:pPr>
        <w:pStyle w:val="3"/>
        <w:spacing w:before="0" w:line="560" w:lineRule="exact"/>
        <w:ind w:firstLine="612" w:firstLineChars="200"/>
        <w:jc w:val="left"/>
        <w:rPr>
          <w:rFonts w:ascii="Times New Roman" w:hAnsi="Times New Roman" w:eastAsia="仿宋_GB2312" w:cs="Times New Roman"/>
          <w:b w:val="0"/>
          <w:spacing w:val="-7"/>
          <w:sz w:val="32"/>
          <w:szCs w:val="32"/>
        </w:rPr>
      </w:pPr>
      <w:r>
        <w:rPr>
          <w:rFonts w:ascii="Times New Roman" w:hAnsi="Times New Roman" w:eastAsia="仿宋_GB2312" w:cs="Times New Roman"/>
          <w:b w:val="0"/>
          <w:spacing w:val="-7"/>
          <w:sz w:val="32"/>
          <w:szCs w:val="32"/>
        </w:rPr>
        <w:t>本年度纳入自治区发展和改革委员会2025年部门整体支出绩效自评范围的预算单位10家，其中：行政单位1家、事业单位9家具体包括：</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（1）自治区发展和改革委员会（本级）</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（2）自治区发展和改革委员会机关服务中心</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（3）自治区发展和改革委员会宣传教育中心</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（4）自治区发展和改革委员会经济研究院</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（5）自治区政府投资项目评审中心</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（6）自治区价格认证中心</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（7）自治区政府投资建设项目代建中心</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（8）自治区价格监测中心</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（9）自治区能源安全监测中心</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（10）自治区公共信用信息中心</w:t>
      </w:r>
    </w:p>
    <w:p>
      <w:pPr>
        <w:spacing w:line="540" w:lineRule="exact"/>
        <w:ind w:firstLine="564" w:firstLineChars="181"/>
        <w:rPr>
          <w:rStyle w:val="9"/>
          <w:rFonts w:ascii="楷体" w:hAnsi="楷体" w:eastAsia="楷体" w:cs="Times New Roman"/>
          <w:b w:val="0"/>
          <w:bCs w:val="0"/>
          <w:spacing w:val="-4"/>
          <w:sz w:val="32"/>
          <w:szCs w:val="32"/>
        </w:rPr>
      </w:pPr>
      <w:r>
        <w:rPr>
          <w:rStyle w:val="9"/>
          <w:rFonts w:ascii="楷体" w:hAnsi="楷体" w:eastAsia="楷体" w:cs="Times New Roman"/>
          <w:b w:val="0"/>
          <w:bCs w:val="0"/>
          <w:spacing w:val="-4"/>
          <w:sz w:val="32"/>
          <w:szCs w:val="32"/>
        </w:rPr>
        <w:t xml:space="preserve"> (二)年度重点工作</w:t>
      </w:r>
    </w:p>
    <w:p>
      <w:pPr>
        <w:spacing w:line="560" w:lineRule="exact"/>
        <w:ind w:firstLine="672" w:firstLineChars="210"/>
        <w:rPr>
          <w:rStyle w:val="9"/>
          <w:rFonts w:ascii="Times New Roman" w:hAnsi="Times New Roman" w:eastAsia="仿宋_GB2312" w:cs="Times New Roman"/>
          <w:b w:val="0"/>
          <w:sz w:val="32"/>
          <w:szCs w:val="32"/>
        </w:rPr>
      </w:pPr>
      <w:r>
        <w:rPr>
          <w:rFonts w:ascii="Times New Roman" w:hAnsi="Times New Roman" w:eastAsia="仿宋_GB2312" w:cs="Times New Roman"/>
          <w:bCs/>
          <w:sz w:val="32"/>
          <w:szCs w:val="32"/>
        </w:rPr>
        <w:t>2025年度自治区发展改革委重点工作如下：</w:t>
      </w:r>
    </w:p>
    <w:p>
      <w:pPr>
        <w:snapToGrid w:val="0"/>
        <w:spacing w:line="560" w:lineRule="exact"/>
        <w:ind w:firstLine="640" w:firstLineChars="200"/>
        <w:outlineLvl w:val="0"/>
        <w:rPr>
          <w:rFonts w:ascii="Times New Roman" w:hAnsi="Times New Roman" w:eastAsia="仿宋_GB2312" w:cs="Times New Roman"/>
          <w:bCs/>
          <w:sz w:val="32"/>
          <w:szCs w:val="32"/>
        </w:rPr>
      </w:pPr>
      <w:r>
        <w:rPr>
          <w:rFonts w:ascii="Times New Roman" w:hAnsi="Times New Roman" w:eastAsia="仿宋_GB2312" w:cs="Times New Roman"/>
          <w:bCs/>
          <w:sz w:val="32"/>
          <w:szCs w:val="32"/>
        </w:rPr>
        <w:t>1.聚焦全局观大势谋大事，参谋助手作用充分发挥。</w:t>
      </w:r>
    </w:p>
    <w:p>
      <w:pPr>
        <w:snapToGrid w:val="0"/>
        <w:spacing w:line="560" w:lineRule="exact"/>
        <w:ind w:firstLine="640" w:firstLineChars="200"/>
        <w:outlineLvl w:val="0"/>
        <w:rPr>
          <w:rFonts w:ascii="Times New Roman" w:hAnsi="Times New Roman" w:eastAsia="仿宋_GB2312" w:cs="Times New Roman"/>
          <w:bCs/>
          <w:sz w:val="32"/>
          <w:szCs w:val="32"/>
        </w:rPr>
      </w:pPr>
      <w:r>
        <w:rPr>
          <w:rFonts w:ascii="Times New Roman" w:hAnsi="Times New Roman" w:eastAsia="仿宋_GB2312" w:cs="Times New Roman"/>
          <w:bCs/>
          <w:sz w:val="32"/>
          <w:szCs w:val="32"/>
        </w:rPr>
        <w:t>2.积极扩投资促消费，推动供给需求良性互动。</w:t>
      </w:r>
    </w:p>
    <w:p>
      <w:pPr>
        <w:snapToGrid w:val="0"/>
        <w:spacing w:line="560" w:lineRule="exact"/>
        <w:ind w:firstLine="640" w:firstLineChars="200"/>
        <w:outlineLvl w:val="0"/>
        <w:rPr>
          <w:rFonts w:ascii="Times New Roman" w:hAnsi="Times New Roman" w:eastAsia="仿宋_GB2312" w:cs="Times New Roman"/>
          <w:bCs/>
          <w:sz w:val="32"/>
          <w:szCs w:val="32"/>
        </w:rPr>
      </w:pPr>
      <w:r>
        <w:rPr>
          <w:rFonts w:ascii="Times New Roman" w:hAnsi="Times New Roman" w:eastAsia="仿宋_GB2312" w:cs="Times New Roman"/>
          <w:bCs/>
          <w:sz w:val="32"/>
          <w:szCs w:val="32"/>
        </w:rPr>
        <w:t>3.立足资源禀赋和产业基础，体现新疆特色的现代化产业体系加快构建。</w:t>
      </w:r>
    </w:p>
    <w:p>
      <w:pPr>
        <w:snapToGrid w:val="0"/>
        <w:spacing w:line="560" w:lineRule="exact"/>
        <w:ind w:firstLine="640" w:firstLineChars="200"/>
        <w:outlineLvl w:val="0"/>
        <w:rPr>
          <w:rFonts w:ascii="Times New Roman" w:hAnsi="Times New Roman" w:eastAsia="仿宋_GB2312" w:cs="Times New Roman"/>
          <w:bCs/>
          <w:sz w:val="32"/>
          <w:szCs w:val="32"/>
        </w:rPr>
      </w:pPr>
      <w:r>
        <w:rPr>
          <w:rFonts w:ascii="Times New Roman" w:hAnsi="Times New Roman" w:eastAsia="仿宋_GB2312" w:cs="Times New Roman"/>
          <w:bCs/>
          <w:sz w:val="32"/>
          <w:szCs w:val="32"/>
        </w:rPr>
        <w:t>4.全面深化改革扩大开放，经济增长的内生动力持续迸发。</w:t>
      </w:r>
    </w:p>
    <w:p>
      <w:pPr>
        <w:snapToGrid w:val="0"/>
        <w:spacing w:line="560" w:lineRule="exact"/>
        <w:ind w:firstLine="640" w:firstLineChars="200"/>
        <w:outlineLvl w:val="0"/>
        <w:rPr>
          <w:rFonts w:ascii="Times New Roman" w:hAnsi="Times New Roman" w:eastAsia="仿宋_GB2312" w:cs="Times New Roman"/>
          <w:bCs/>
          <w:sz w:val="32"/>
          <w:szCs w:val="32"/>
        </w:rPr>
      </w:pPr>
      <w:r>
        <w:rPr>
          <w:rFonts w:ascii="Times New Roman" w:hAnsi="Times New Roman" w:eastAsia="仿宋_GB2312" w:cs="Times New Roman"/>
          <w:bCs/>
          <w:sz w:val="32"/>
          <w:szCs w:val="32"/>
        </w:rPr>
        <w:t>5.更好统筹发展和安全，积极保障国家重点领域安全稳定。</w:t>
      </w:r>
    </w:p>
    <w:p>
      <w:pPr>
        <w:snapToGrid w:val="0"/>
        <w:spacing w:line="560" w:lineRule="exact"/>
        <w:ind w:firstLine="640" w:firstLineChars="200"/>
        <w:outlineLvl w:val="0"/>
        <w:rPr>
          <w:rFonts w:ascii="Times New Roman" w:hAnsi="Times New Roman" w:eastAsia="仿宋_GB2312" w:cs="Times New Roman"/>
          <w:bCs/>
          <w:sz w:val="32"/>
          <w:szCs w:val="32"/>
        </w:rPr>
      </w:pPr>
      <w:r>
        <w:rPr>
          <w:rFonts w:ascii="Times New Roman" w:hAnsi="Times New Roman" w:eastAsia="仿宋_GB2312" w:cs="Times New Roman"/>
          <w:bCs/>
          <w:sz w:val="32"/>
          <w:szCs w:val="32"/>
        </w:rPr>
        <w:t>6.不断加大保障和改善民生力度，各族群众幸福生活成色更足。</w:t>
      </w:r>
    </w:p>
    <w:p>
      <w:pPr>
        <w:spacing w:line="540" w:lineRule="exact"/>
        <w:ind w:firstLine="564" w:firstLineChars="181"/>
        <w:rPr>
          <w:rStyle w:val="9"/>
          <w:rFonts w:ascii="楷体" w:hAnsi="楷体" w:eastAsia="楷体" w:cs="Times New Roman"/>
          <w:b w:val="0"/>
          <w:bCs w:val="0"/>
          <w:spacing w:val="-4"/>
          <w:sz w:val="32"/>
          <w:szCs w:val="32"/>
        </w:rPr>
      </w:pPr>
      <w:r>
        <w:rPr>
          <w:rStyle w:val="9"/>
          <w:rFonts w:ascii="楷体" w:hAnsi="楷体" w:eastAsia="楷体" w:cs="Times New Roman"/>
          <w:b w:val="0"/>
          <w:bCs w:val="0"/>
          <w:spacing w:val="-4"/>
          <w:sz w:val="32"/>
          <w:szCs w:val="32"/>
        </w:rPr>
        <w:t>(三)部门整体预算规模及安排情况</w:t>
      </w:r>
    </w:p>
    <w:p>
      <w:pPr>
        <w:ind w:firstLine="627"/>
        <w:outlineLvl w:val="2"/>
        <w:rPr>
          <w:rFonts w:ascii="Times New Roman" w:hAnsi="Times New Roman" w:eastAsia="仿宋_GB2312" w:cs="Times New Roman"/>
          <w:spacing w:val="-4"/>
          <w:sz w:val="32"/>
          <w:szCs w:val="32"/>
        </w:rPr>
      </w:pPr>
      <w:bookmarkStart w:id="0" w:name="_Toc24953"/>
      <w:bookmarkStart w:id="1" w:name="_Toc15250"/>
      <w:r>
        <w:rPr>
          <w:rFonts w:ascii="Times New Roman" w:hAnsi="Times New Roman" w:eastAsia="仿宋_GB2312" w:cs="Times New Roman"/>
          <w:spacing w:val="-4"/>
          <w:sz w:val="32"/>
          <w:szCs w:val="32"/>
        </w:rPr>
        <w:t>1.年初预算安排情况</w:t>
      </w:r>
      <w:bookmarkEnd w:id="0"/>
      <w:bookmarkEnd w:id="1"/>
    </w:p>
    <w:p>
      <w:pPr>
        <w:adjustRightInd w:val="0"/>
        <w:snapToGrid w:val="0"/>
        <w:spacing w:line="560" w:lineRule="exact"/>
        <w:ind w:firstLine="624"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Cs/>
          <w:color w:val="000000"/>
          <w:spacing w:val="-4"/>
          <w:sz w:val="32"/>
          <w:szCs w:val="32"/>
        </w:rPr>
        <w:t>2025年</w:t>
      </w:r>
      <w:r>
        <w:rPr>
          <w:rFonts w:ascii="Times New Roman" w:hAnsi="Times New Roman" w:eastAsia="仿宋_GB2312" w:cs="Times New Roman"/>
          <w:bCs/>
          <w:color w:val="000000" w:themeColor="text1"/>
          <w:spacing w:val="-4"/>
          <w:sz w:val="32"/>
          <w:szCs w:val="32"/>
          <w14:textFill>
            <w14:solidFill>
              <w14:schemeClr w14:val="tx1"/>
            </w14:solidFill>
          </w14:textFill>
        </w:rPr>
        <w:t>自治区发展改革委年初预算安排171485.69万元（含代编预算155000万元），其中财政资金168318.13万元，其他资金3167.56万元，</w:t>
      </w:r>
      <w:r>
        <w:rPr>
          <w:rFonts w:ascii="Times New Roman" w:hAnsi="Times New Roman" w:eastAsia="仿宋_GB2312" w:cs="Times New Roman"/>
          <w:bCs/>
          <w:color w:val="000000"/>
          <w:spacing w:val="-4"/>
          <w:sz w:val="32"/>
          <w:szCs w:val="32"/>
        </w:rPr>
        <w:t>根据人员定额标</w:t>
      </w:r>
      <w:r>
        <w:rPr>
          <w:rFonts w:ascii="Times New Roman" w:hAnsi="Times New Roman" w:eastAsia="仿宋_GB2312" w:cs="Times New Roman"/>
          <w:bCs/>
          <w:color w:val="000000" w:themeColor="text1"/>
          <w:spacing w:val="-4"/>
          <w:sz w:val="32"/>
          <w:szCs w:val="32"/>
          <w14:textFill>
            <w14:solidFill>
              <w14:schemeClr w14:val="tx1"/>
            </w14:solidFill>
          </w14:textFill>
        </w:rPr>
        <w:t>准</w:t>
      </w:r>
      <w:r>
        <w:rPr>
          <w:rFonts w:ascii="Times New Roman" w:hAnsi="Times New Roman" w:eastAsia="仿宋_GB2312" w:cs="Times New Roman"/>
          <w:color w:val="000000" w:themeColor="text1"/>
          <w:sz w:val="32"/>
          <w:szCs w:val="32"/>
          <w14:textFill>
            <w14:solidFill>
              <w14:schemeClr w14:val="tx1"/>
            </w14:solidFill>
          </w14:textFill>
        </w:rPr>
        <w:t>安排基本支出11783.88万元，占6.87%，主要用于人员经费及日常办公经费开支；根据部门年度重点工作安排项目支出159701.81万元，占93.13%，主要用于</w:t>
      </w:r>
      <w:r>
        <w:rPr>
          <w:rStyle w:val="9"/>
          <w:rFonts w:ascii="Times New Roman" w:hAnsi="Times New Roman" w:eastAsia="仿宋_GB2312" w:cs="Times New Roman"/>
          <w:b w:val="0"/>
          <w:spacing w:val="-4"/>
          <w:kern w:val="0"/>
          <w:sz w:val="32"/>
          <w:szCs w:val="32"/>
        </w:rPr>
        <w:t>自治区预算内投资、2025年全社会节能减排、发展和改革专项</w:t>
      </w:r>
      <w:r>
        <w:rPr>
          <w:rFonts w:ascii="Times New Roman" w:hAnsi="Times New Roman" w:eastAsia="仿宋_GB2312" w:cs="Times New Roman"/>
          <w:color w:val="000000" w:themeColor="text1"/>
          <w:sz w:val="32"/>
          <w:szCs w:val="32"/>
          <w14:textFill>
            <w14:solidFill>
              <w14:schemeClr w14:val="tx1"/>
            </w14:solidFill>
          </w14:textFill>
        </w:rPr>
        <w:t>等</w:t>
      </w:r>
      <w:r>
        <w:rPr>
          <w:rFonts w:hint="eastAsia" w:ascii="Times New Roman" w:hAnsi="Times New Roman" w:eastAsia="仿宋_GB2312" w:cs="Times New Roman"/>
          <w:color w:val="000000" w:themeColor="text1"/>
          <w:sz w:val="32"/>
          <w:szCs w:val="32"/>
          <w14:textFill>
            <w14:solidFill>
              <w14:schemeClr w14:val="tx1"/>
            </w14:solidFill>
          </w14:textFill>
        </w:rPr>
        <w:t>各类</w:t>
      </w:r>
      <w:r>
        <w:rPr>
          <w:rFonts w:ascii="Times New Roman" w:hAnsi="Times New Roman" w:eastAsia="仿宋_GB2312" w:cs="Times New Roman"/>
          <w:color w:val="000000" w:themeColor="text1"/>
          <w:sz w:val="32"/>
          <w:szCs w:val="32"/>
          <w14:textFill>
            <w14:solidFill>
              <w14:schemeClr w14:val="tx1"/>
            </w14:solidFill>
          </w14:textFill>
        </w:rPr>
        <w:t>项目经费开支。</w:t>
      </w:r>
    </w:p>
    <w:p>
      <w:pPr>
        <w:ind w:firstLine="627"/>
        <w:outlineLvl w:val="2"/>
        <w:rPr>
          <w:rFonts w:ascii="Times New Roman" w:hAnsi="Times New Roman" w:eastAsia="仿宋_GB2312" w:cs="Times New Roman"/>
          <w:spacing w:val="-4"/>
          <w:sz w:val="32"/>
          <w:szCs w:val="32"/>
        </w:rPr>
      </w:pPr>
      <w:bookmarkStart w:id="2" w:name="_Toc7210"/>
      <w:bookmarkStart w:id="3" w:name="_Toc20647"/>
      <w:r>
        <w:rPr>
          <w:rFonts w:ascii="Times New Roman" w:hAnsi="Times New Roman" w:eastAsia="仿宋_GB2312" w:cs="Times New Roman"/>
          <w:spacing w:val="-4"/>
          <w:sz w:val="32"/>
          <w:szCs w:val="32"/>
        </w:rPr>
        <w:t>2.预算调整情况</w:t>
      </w:r>
      <w:bookmarkEnd w:id="2"/>
      <w:bookmarkEnd w:id="3"/>
    </w:p>
    <w:p>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bCs/>
          <w:color w:val="000000" w:themeColor="text1"/>
          <w:sz w:val="32"/>
          <w:szCs w:val="32"/>
          <w14:textFill>
            <w14:solidFill>
              <w14:schemeClr w14:val="tx1"/>
            </w14:solidFill>
          </w14:textFill>
        </w:rPr>
        <w:t>2025年度</w:t>
      </w:r>
      <w:r>
        <w:rPr>
          <w:rFonts w:ascii="Times New Roman" w:hAnsi="Times New Roman" w:eastAsia="仿宋_GB2312" w:cs="Times New Roman"/>
          <w:bCs/>
          <w:color w:val="000000" w:themeColor="text1"/>
          <w:spacing w:val="-4"/>
          <w:sz w:val="32"/>
          <w:szCs w:val="32"/>
          <w14:textFill>
            <w14:solidFill>
              <w14:schemeClr w14:val="tx1"/>
            </w14:solidFill>
          </w14:textFill>
        </w:rPr>
        <w:t>自治区发展改革委</w:t>
      </w:r>
      <w:r>
        <w:rPr>
          <w:rFonts w:ascii="Times New Roman" w:hAnsi="Times New Roman" w:eastAsia="仿宋_GB2312" w:cs="Times New Roman"/>
          <w:bCs/>
          <w:color w:val="000000" w:themeColor="text1"/>
          <w:sz w:val="32"/>
          <w:szCs w:val="32"/>
          <w14:textFill>
            <w14:solidFill>
              <w14:schemeClr w14:val="tx1"/>
            </w14:solidFill>
          </w14:textFill>
        </w:rPr>
        <w:t>全年预算数为</w:t>
      </w:r>
      <w:r>
        <w:rPr>
          <w:rFonts w:hint="eastAsia" w:ascii="Times New Roman" w:hAnsi="Times New Roman" w:eastAsia="仿宋_GB2312" w:cs="Times New Roman"/>
          <w:color w:val="000000" w:themeColor="text1"/>
          <w:sz w:val="32"/>
          <w:szCs w:val="32"/>
          <w14:textFill>
            <w14:solidFill>
              <w14:schemeClr w14:val="tx1"/>
            </w14:solidFill>
          </w14:textFill>
        </w:rPr>
        <w:t>181964.05</w:t>
      </w:r>
      <w:r>
        <w:rPr>
          <w:rFonts w:ascii="Times New Roman" w:hAnsi="Times New Roman" w:eastAsia="仿宋_GB2312" w:cs="Times New Roman"/>
          <w:bCs/>
          <w:color w:val="000000" w:themeColor="text1"/>
          <w:sz w:val="32"/>
          <w:szCs w:val="32"/>
          <w14:textFill>
            <w14:solidFill>
              <w14:schemeClr w14:val="tx1"/>
            </w14:solidFill>
          </w14:textFill>
        </w:rPr>
        <w:t>万元</w:t>
      </w:r>
      <w:r>
        <w:rPr>
          <w:rFonts w:ascii="Times New Roman" w:hAnsi="Times New Roman" w:eastAsia="仿宋_GB2312" w:cs="Times New Roman"/>
          <w:bCs/>
          <w:color w:val="000000" w:themeColor="text1"/>
          <w:spacing w:val="-4"/>
          <w:sz w:val="32"/>
          <w:szCs w:val="32"/>
          <w14:textFill>
            <w14:solidFill>
              <w14:schemeClr w14:val="tx1"/>
            </w14:solidFill>
          </w14:textFill>
        </w:rPr>
        <w:t>（含代编预算155000万元）</w:t>
      </w:r>
      <w:r>
        <w:rPr>
          <w:rFonts w:ascii="Times New Roman" w:hAnsi="Times New Roman" w:eastAsia="仿宋_GB2312" w:cs="Times New Roman"/>
          <w:bCs/>
          <w:color w:val="000000" w:themeColor="text1"/>
          <w:sz w:val="32"/>
          <w:szCs w:val="32"/>
          <w14:textFill>
            <w14:solidFill>
              <w14:schemeClr w14:val="tx1"/>
            </w14:solidFill>
          </w14:textFill>
        </w:rPr>
        <w:t>，预算调整数为</w:t>
      </w:r>
      <w:r>
        <w:rPr>
          <w:rFonts w:hint="eastAsia" w:ascii="Times New Roman" w:hAnsi="Times New Roman" w:eastAsia="仿宋_GB2312" w:cs="Times New Roman"/>
          <w:color w:val="000000" w:themeColor="text1"/>
          <w:sz w:val="32"/>
          <w:szCs w:val="32"/>
          <w14:textFill>
            <w14:solidFill>
              <w14:schemeClr w14:val="tx1"/>
            </w14:solidFill>
          </w14:textFill>
        </w:rPr>
        <w:t>10478.36</w:t>
      </w:r>
      <w:r>
        <w:rPr>
          <w:rFonts w:ascii="Times New Roman" w:hAnsi="Times New Roman" w:eastAsia="仿宋_GB2312" w:cs="Times New Roman"/>
          <w:bCs/>
          <w:color w:val="000000" w:themeColor="text1"/>
          <w:sz w:val="32"/>
          <w:szCs w:val="32"/>
          <w14:textFill>
            <w14:solidFill>
              <w14:schemeClr w14:val="tx1"/>
            </w14:solidFill>
          </w14:textFill>
        </w:rPr>
        <w:t>万元，预算调整率为</w:t>
      </w:r>
      <w:r>
        <w:rPr>
          <w:rFonts w:ascii="Times New Roman" w:hAnsi="Times New Roman" w:eastAsia="仿宋_GB2312" w:cs="Times New Roman"/>
          <w:color w:val="000000" w:themeColor="text1"/>
          <w:sz w:val="32"/>
          <w:szCs w:val="32"/>
          <w14:textFill>
            <w14:solidFill>
              <w14:schemeClr w14:val="tx1"/>
            </w14:solidFill>
          </w14:textFill>
        </w:rPr>
        <w:t>6</w:t>
      </w:r>
      <w:r>
        <w:rPr>
          <w:rFonts w:hint="eastAsia" w:ascii="Times New Roman" w:hAnsi="Times New Roman" w:eastAsia="仿宋_GB2312" w:cs="Times New Roman"/>
          <w:color w:val="000000" w:themeColor="text1"/>
          <w:sz w:val="32"/>
          <w:szCs w:val="32"/>
          <w14:textFill>
            <w14:solidFill>
              <w14:schemeClr w14:val="tx1"/>
            </w14:solidFill>
          </w14:textFill>
        </w:rPr>
        <w:t>.11</w:t>
      </w:r>
      <w:r>
        <w:rPr>
          <w:rFonts w:ascii="Times New Roman" w:hAnsi="Times New Roman" w:eastAsia="仿宋_GB2312" w:cs="Times New Roman"/>
          <w:bCs/>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sz w:val="32"/>
          <w:szCs w:val="32"/>
        </w:rPr>
        <w:t>调整主要原因是</w:t>
      </w:r>
      <w:r>
        <w:rPr>
          <w:rFonts w:hint="eastAsia" w:ascii="Times New Roman" w:hAnsi="Times New Roman" w:eastAsia="仿宋_GB2312" w:cs="Times New Roman"/>
          <w:sz w:val="32"/>
          <w:szCs w:val="32"/>
        </w:rPr>
        <w:t>2025年调整工资追加人员经费、年中追加节能减排及其他项目资金</w:t>
      </w:r>
      <w:r>
        <w:rPr>
          <w:rFonts w:ascii="Times New Roman" w:hAnsi="Times New Roman" w:eastAsia="仿宋_GB2312" w:cs="Times New Roman"/>
          <w:sz w:val="32"/>
          <w:szCs w:val="32"/>
        </w:rPr>
        <w:t>。</w:t>
      </w:r>
    </w:p>
    <w:p>
      <w:pPr>
        <w:numPr>
          <w:ilvl w:val="0"/>
          <w:numId w:val="1"/>
        </w:numPr>
        <w:spacing w:line="560" w:lineRule="exact"/>
        <w:ind w:firstLine="640" w:firstLineChars="200"/>
        <w:rPr>
          <w:rFonts w:ascii="黑体" w:hAnsi="黑体" w:eastAsia="黑体" w:cs="Times New Roman"/>
          <w:sz w:val="32"/>
          <w:szCs w:val="32"/>
        </w:rPr>
      </w:pPr>
      <w:r>
        <w:rPr>
          <w:rFonts w:ascii="黑体" w:hAnsi="黑体" w:eastAsia="黑体" w:cs="Times New Roman"/>
          <w:sz w:val="32"/>
          <w:szCs w:val="32"/>
        </w:rPr>
        <w:t>部门整体支出管理及使用情况</w:t>
      </w:r>
    </w:p>
    <w:p>
      <w:pPr>
        <w:spacing w:line="560" w:lineRule="exact"/>
        <w:ind w:firstLine="640" w:firstLineChars="200"/>
        <w:jc w:val="left"/>
        <w:outlineLvl w:val="1"/>
        <w:rPr>
          <w:rFonts w:ascii="楷体" w:hAnsi="楷体" w:eastAsia="楷体" w:cs="Times New Roman"/>
          <w:sz w:val="32"/>
          <w:szCs w:val="32"/>
        </w:rPr>
      </w:pPr>
      <w:bookmarkStart w:id="4" w:name="_Toc16929"/>
      <w:bookmarkStart w:id="5" w:name="_Toc12906"/>
      <w:bookmarkStart w:id="6" w:name="_Toc29253"/>
      <w:r>
        <w:rPr>
          <w:rFonts w:ascii="楷体" w:hAnsi="楷体" w:eastAsia="楷体" w:cs="Times New Roman"/>
          <w:sz w:val="32"/>
          <w:szCs w:val="32"/>
        </w:rPr>
        <w:t>（一）部门单位整体支出管理情况</w:t>
      </w:r>
      <w:bookmarkEnd w:id="4"/>
      <w:bookmarkEnd w:id="5"/>
      <w:bookmarkEnd w:id="6"/>
    </w:p>
    <w:p>
      <w:pPr>
        <w:spacing w:line="560" w:lineRule="exact"/>
        <w:ind w:firstLine="640" w:firstLineChars="200"/>
        <w:jc w:val="left"/>
        <w:outlineLvl w:val="2"/>
        <w:rPr>
          <w:rFonts w:ascii="Times New Roman" w:hAnsi="Times New Roman" w:eastAsia="仿宋_GB2312" w:cs="Times New Roman"/>
          <w:sz w:val="32"/>
          <w:szCs w:val="32"/>
        </w:rPr>
      </w:pPr>
      <w:bookmarkStart w:id="7" w:name="_Toc3057"/>
      <w:bookmarkStart w:id="8" w:name="_Toc15168"/>
      <w:bookmarkStart w:id="9" w:name="_Toc5951"/>
      <w:r>
        <w:rPr>
          <w:rFonts w:ascii="Times New Roman" w:hAnsi="Times New Roman" w:eastAsia="仿宋_GB2312" w:cs="Times New Roman"/>
          <w:sz w:val="32"/>
          <w:szCs w:val="32"/>
        </w:rPr>
        <w:t>1.预算编制</w:t>
      </w:r>
      <w:bookmarkEnd w:id="7"/>
      <w:bookmarkEnd w:id="8"/>
      <w:bookmarkEnd w:id="9"/>
    </w:p>
    <w:p>
      <w:pPr>
        <w:widowControl/>
        <w:spacing w:line="560" w:lineRule="exact"/>
        <w:ind w:firstLine="640" w:firstLineChars="200"/>
        <w:rPr>
          <w:rFonts w:ascii="Times New Roman" w:hAnsi="Times New Roman" w:eastAsia="仿宋_GB2312" w:cs="Times New Roman"/>
          <w:b/>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lang w:bidi="ar"/>
          <w14:textFill>
            <w14:solidFill>
              <w14:schemeClr w14:val="tx1"/>
            </w14:solidFill>
          </w14:textFill>
        </w:rPr>
        <w:t>2025年</w:t>
      </w:r>
      <w:r>
        <w:rPr>
          <w:rFonts w:ascii="Times New Roman" w:hAnsi="Times New Roman" w:eastAsia="仿宋_GB2312" w:cs="Times New Roman"/>
          <w:bCs/>
          <w:color w:val="000000" w:themeColor="text1"/>
          <w:spacing w:val="-4"/>
          <w:sz w:val="32"/>
          <w:szCs w:val="32"/>
          <w14:textFill>
            <w14:solidFill>
              <w14:schemeClr w14:val="tx1"/>
            </w14:solidFill>
          </w14:textFill>
        </w:rPr>
        <w:t>自治区发展改革委</w:t>
      </w:r>
      <w:r>
        <w:rPr>
          <w:rFonts w:ascii="Times New Roman" w:hAnsi="Times New Roman" w:eastAsia="仿宋_GB2312" w:cs="Times New Roman"/>
          <w:color w:val="000000" w:themeColor="text1"/>
          <w:kern w:val="0"/>
          <w:sz w:val="32"/>
          <w:szCs w:val="32"/>
          <w:lang w:bidi="ar"/>
          <w14:textFill>
            <w14:solidFill>
              <w14:schemeClr w14:val="tx1"/>
            </w14:solidFill>
          </w14:textFill>
        </w:rPr>
        <w:t>坚持围绕年度重点工作，科学谋划预算资金安排，依据人员经费、公用经费定额标准编报基本支出预算，围绕政府决策部署、部门中长期规划和年度重点工作、特定目标任务编制项目支出预算，在规定程序和要求内，及时完成部门预算编制申报，同时合理设定入库项目绩效指标、年度目标值，科学构建部门整体支出目标，推动提高财政资金配置效益。</w:t>
      </w:r>
    </w:p>
    <w:p>
      <w:pPr>
        <w:spacing w:line="560" w:lineRule="exact"/>
        <w:ind w:firstLine="640" w:firstLineChars="200"/>
        <w:jc w:val="left"/>
        <w:outlineLvl w:val="2"/>
        <w:rPr>
          <w:rFonts w:ascii="Times New Roman" w:hAnsi="Times New Roman" w:eastAsia="仿宋_GB2312" w:cs="Times New Roman"/>
          <w:sz w:val="32"/>
          <w:szCs w:val="32"/>
        </w:rPr>
      </w:pPr>
      <w:bookmarkStart w:id="10" w:name="_Toc26162"/>
      <w:bookmarkStart w:id="11" w:name="_Toc30044"/>
      <w:bookmarkStart w:id="12" w:name="_Toc25471"/>
      <w:r>
        <w:rPr>
          <w:rFonts w:ascii="Times New Roman" w:hAnsi="Times New Roman" w:eastAsia="仿宋_GB2312" w:cs="Times New Roman"/>
          <w:sz w:val="32"/>
          <w:szCs w:val="32"/>
        </w:rPr>
        <w:t>2.预算执行</w:t>
      </w:r>
      <w:bookmarkEnd w:id="10"/>
      <w:bookmarkEnd w:id="11"/>
      <w:bookmarkEnd w:id="12"/>
    </w:p>
    <w:p>
      <w:pPr>
        <w:widowControl/>
        <w:spacing w:line="560" w:lineRule="exact"/>
        <w:ind w:firstLine="640" w:firstLineChars="200"/>
        <w:rPr>
          <w:rFonts w:ascii="Times New Roman" w:hAnsi="Times New Roman" w:eastAsia="仿宋_GB2312" w:cs="Times New Roman"/>
          <w:color w:val="FF0000"/>
          <w:sz w:val="32"/>
          <w:szCs w:val="32"/>
          <w:lang w:bidi="ar"/>
        </w:rPr>
      </w:pPr>
      <w:r>
        <w:rPr>
          <w:rFonts w:ascii="Times New Roman" w:hAnsi="Times New Roman" w:eastAsia="仿宋_GB2312" w:cs="Times New Roman"/>
          <w:color w:val="000000" w:themeColor="text1"/>
          <w:kern w:val="0"/>
          <w:sz w:val="32"/>
          <w:szCs w:val="32"/>
          <w:lang w:bidi="ar"/>
          <w14:textFill>
            <w14:solidFill>
              <w14:schemeClr w14:val="tx1"/>
            </w14:solidFill>
          </w14:textFill>
        </w:rPr>
        <w:t>财政部门批复预算后，</w:t>
      </w:r>
      <w:r>
        <w:rPr>
          <w:rFonts w:ascii="Times New Roman" w:hAnsi="Times New Roman" w:eastAsia="仿宋_GB2312" w:cs="Times New Roman"/>
          <w:bCs/>
          <w:color w:val="000000" w:themeColor="text1"/>
          <w:spacing w:val="-4"/>
          <w:sz w:val="32"/>
          <w:szCs w:val="32"/>
          <w14:textFill>
            <w14:solidFill>
              <w14:schemeClr w14:val="tx1"/>
            </w14:solidFill>
          </w14:textFill>
        </w:rPr>
        <w:t>自治区发展改革委</w:t>
      </w:r>
      <w:r>
        <w:rPr>
          <w:rFonts w:ascii="Times New Roman" w:hAnsi="Times New Roman" w:eastAsia="仿宋_GB2312" w:cs="Times New Roman"/>
          <w:color w:val="000000" w:themeColor="text1"/>
          <w:kern w:val="0"/>
          <w:sz w:val="32"/>
          <w:szCs w:val="32"/>
          <w:lang w:bidi="ar"/>
          <w14:textFill>
            <w14:solidFill>
              <w14:schemeClr w14:val="tx1"/>
            </w14:solidFill>
          </w14:textFill>
        </w:rPr>
        <w:t>按要求及时制定并报批部门预算支出计划，严格落实预算执行定期分析机制，靠前抓好支出执行，坚持</w:t>
      </w:r>
      <w:r>
        <w:rPr>
          <w:rFonts w:ascii="Times New Roman" w:hAnsi="Times New Roman" w:eastAsia="仿宋_GB2312" w:cs="Times New Roman"/>
          <w:color w:val="000000" w:themeColor="text1"/>
          <w:sz w:val="32"/>
          <w:szCs w:val="32"/>
          <w:lang w:bidi="ar"/>
          <w14:textFill>
            <w14:solidFill>
              <w14:schemeClr w14:val="tx1"/>
            </w14:solidFill>
          </w14:textFill>
        </w:rPr>
        <w:t>严守财经纪律，动态监控进度与合规性，并针对专项工作实施规范化组织与全过程风险防控，</w:t>
      </w:r>
      <w:r>
        <w:rPr>
          <w:rFonts w:ascii="Times New Roman" w:hAnsi="Times New Roman" w:eastAsia="仿宋_GB2312" w:cs="Times New Roman"/>
          <w:color w:val="000000" w:themeColor="text1"/>
          <w:kern w:val="0"/>
          <w:sz w:val="32"/>
          <w:szCs w:val="32"/>
          <w:lang w:bidi="ar"/>
          <w14:textFill>
            <w14:solidFill>
              <w14:schemeClr w14:val="tx1"/>
            </w14:solidFill>
          </w14:textFill>
        </w:rPr>
        <w:t>严控一般性支出，努力降低</w:t>
      </w:r>
      <w:r>
        <w:rPr>
          <w:rFonts w:ascii="Times New Roman" w:hAnsi="Times New Roman" w:eastAsia="仿宋_GB2312" w:cs="Times New Roman"/>
          <w:color w:val="000000" w:themeColor="text1"/>
          <w:sz w:val="32"/>
          <w:szCs w:val="32"/>
          <w:lang w:bidi="ar"/>
          <w14:textFill>
            <w14:solidFill>
              <w14:schemeClr w14:val="tx1"/>
            </w14:solidFill>
          </w14:textFill>
        </w:rPr>
        <w:t>单位运转</w:t>
      </w:r>
      <w:r>
        <w:rPr>
          <w:rFonts w:ascii="Times New Roman" w:hAnsi="Times New Roman" w:eastAsia="仿宋_GB2312" w:cs="Times New Roman"/>
          <w:color w:val="000000" w:themeColor="text1"/>
          <w:kern w:val="0"/>
          <w:sz w:val="32"/>
          <w:szCs w:val="32"/>
          <w:lang w:bidi="ar"/>
          <w14:textFill>
            <w14:solidFill>
              <w14:schemeClr w14:val="tx1"/>
            </w14:solidFill>
          </w14:textFill>
        </w:rPr>
        <w:t>成本。</w:t>
      </w:r>
    </w:p>
    <w:p>
      <w:pPr>
        <w:spacing w:line="560" w:lineRule="exact"/>
        <w:ind w:firstLine="640" w:firstLineChars="200"/>
        <w:jc w:val="left"/>
        <w:outlineLvl w:val="2"/>
        <w:rPr>
          <w:rFonts w:ascii="Times New Roman" w:hAnsi="Times New Roman" w:eastAsia="仿宋_GB2312" w:cs="Times New Roman"/>
          <w:sz w:val="32"/>
          <w:szCs w:val="32"/>
        </w:rPr>
      </w:pPr>
      <w:bookmarkStart w:id="13" w:name="_Toc26085"/>
      <w:bookmarkStart w:id="14" w:name="_Toc3280"/>
      <w:bookmarkStart w:id="15" w:name="_Toc31456"/>
      <w:r>
        <w:rPr>
          <w:rFonts w:ascii="Times New Roman" w:hAnsi="Times New Roman" w:eastAsia="仿宋_GB2312" w:cs="Times New Roman"/>
          <w:sz w:val="32"/>
          <w:szCs w:val="32"/>
        </w:rPr>
        <w:t>3.绩效管理</w:t>
      </w:r>
      <w:bookmarkEnd w:id="13"/>
      <w:bookmarkEnd w:id="14"/>
      <w:bookmarkEnd w:id="15"/>
    </w:p>
    <w:p>
      <w:pPr>
        <w:widowControl/>
        <w:spacing w:line="560" w:lineRule="exact"/>
        <w:ind w:firstLine="624" w:firstLineChars="200"/>
        <w:rPr>
          <w:rFonts w:ascii="Times New Roman" w:hAnsi="Times New Roman" w:eastAsia="仿宋_GB2312" w:cs="Times New Roman"/>
          <w:color w:val="000000" w:themeColor="text1"/>
          <w:sz w:val="32"/>
          <w:szCs w:val="32"/>
          <w:lang w:bidi="ar"/>
          <w14:textFill>
            <w14:solidFill>
              <w14:schemeClr w14:val="tx1"/>
            </w14:solidFill>
          </w14:textFill>
        </w:rPr>
      </w:pPr>
      <w:r>
        <w:rPr>
          <w:rFonts w:ascii="Times New Roman" w:hAnsi="Times New Roman" w:eastAsia="仿宋_GB2312" w:cs="Times New Roman"/>
          <w:bCs/>
          <w:color w:val="000000" w:themeColor="text1"/>
          <w:spacing w:val="-4"/>
          <w:sz w:val="32"/>
          <w:szCs w:val="32"/>
          <w14:textFill>
            <w14:solidFill>
              <w14:schemeClr w14:val="tx1"/>
            </w14:solidFill>
          </w14:textFill>
        </w:rPr>
        <w:t>自治区发展改革委</w:t>
      </w:r>
      <w:r>
        <w:rPr>
          <w:rFonts w:ascii="Times New Roman" w:hAnsi="Times New Roman" w:eastAsia="仿宋_GB2312" w:cs="Times New Roman"/>
          <w:color w:val="000000" w:themeColor="text1"/>
          <w:sz w:val="32"/>
          <w:szCs w:val="32"/>
          <w:lang w:bidi="ar"/>
          <w14:textFill>
            <w14:solidFill>
              <w14:schemeClr w14:val="tx1"/>
            </w14:solidFill>
          </w14:textFill>
        </w:rPr>
        <w:t>已构建并实施覆盖预算管理全过程的绩效管理闭环：在预算编制阶段，严格实行绩效目标与预算同步设定、审核，确保目标科学可量化；执行中依托“双监控”机制动态跟踪目标实现与预算执行，及时纠偏；年度终了全面开展绩效自评与配合外部评价，客观反映资金效益；并将评价结果切实应用于问题整改、预算优化和政策调整，强化“花钱必问效、无效必问责”的硬约束，持续提升财政资源配置效率与部门整体履职效能。</w:t>
      </w:r>
    </w:p>
    <w:p>
      <w:pPr>
        <w:spacing w:line="560" w:lineRule="exact"/>
        <w:ind w:firstLine="640" w:firstLineChars="200"/>
        <w:jc w:val="left"/>
        <w:outlineLvl w:val="2"/>
        <w:rPr>
          <w:rFonts w:ascii="Times New Roman" w:hAnsi="Times New Roman" w:eastAsia="仿宋_GB2312" w:cs="Times New Roman"/>
          <w:sz w:val="32"/>
          <w:szCs w:val="32"/>
        </w:rPr>
      </w:pPr>
      <w:bookmarkStart w:id="16" w:name="_Toc4747"/>
      <w:bookmarkStart w:id="17" w:name="_Toc7989"/>
      <w:bookmarkStart w:id="18" w:name="_Toc2740"/>
      <w:r>
        <w:rPr>
          <w:rFonts w:ascii="Times New Roman" w:hAnsi="Times New Roman" w:eastAsia="仿宋_GB2312" w:cs="Times New Roman"/>
          <w:sz w:val="32"/>
          <w:szCs w:val="32"/>
        </w:rPr>
        <w:t>4.信息公开</w:t>
      </w:r>
      <w:bookmarkEnd w:id="16"/>
      <w:bookmarkEnd w:id="17"/>
      <w:bookmarkEnd w:id="18"/>
    </w:p>
    <w:p>
      <w:pPr>
        <w:widowControl/>
        <w:spacing w:line="560" w:lineRule="exact"/>
        <w:ind w:firstLine="624" w:firstLineChars="200"/>
        <w:rPr>
          <w:rFonts w:ascii="Times New Roman" w:hAnsi="Times New Roman" w:eastAsia="仿宋_GB2312" w:cs="Times New Roman"/>
          <w:color w:val="000000" w:themeColor="text1"/>
          <w:kern w:val="0"/>
          <w:sz w:val="32"/>
          <w:szCs w:val="32"/>
          <w:lang w:bidi="ar"/>
          <w14:textFill>
            <w14:solidFill>
              <w14:schemeClr w14:val="tx1"/>
            </w14:solidFill>
          </w14:textFill>
        </w:rPr>
      </w:pPr>
      <w:r>
        <w:rPr>
          <w:rFonts w:ascii="Times New Roman" w:hAnsi="Times New Roman" w:eastAsia="仿宋_GB2312" w:cs="Times New Roman"/>
          <w:bCs/>
          <w:color w:val="000000" w:themeColor="text1"/>
          <w:spacing w:val="-4"/>
          <w:sz w:val="32"/>
          <w:szCs w:val="32"/>
          <w14:textFill>
            <w14:solidFill>
              <w14:schemeClr w14:val="tx1"/>
            </w14:solidFill>
          </w14:textFill>
        </w:rPr>
        <w:t>自治区发展改革委</w:t>
      </w:r>
      <w:r>
        <w:rPr>
          <w:rFonts w:ascii="Times New Roman" w:hAnsi="Times New Roman" w:eastAsia="仿宋_GB2312" w:cs="Times New Roman"/>
          <w:color w:val="000000" w:themeColor="text1"/>
          <w:kern w:val="0"/>
          <w:sz w:val="32"/>
          <w:szCs w:val="32"/>
          <w:lang w:bidi="ar"/>
          <w14:textFill>
            <w14:solidFill>
              <w14:schemeClr w14:val="tx1"/>
            </w14:solidFill>
          </w14:textFill>
        </w:rPr>
        <w:t>已按要求在单位门户网站、财政厅门户网站公开部门预算信息，同步公开绩效目标表；在单位门户网站、自治区财政厅门户网站公开部门决算信息，同步公开自评表及自评报告。</w:t>
      </w:r>
    </w:p>
    <w:p>
      <w:pPr>
        <w:spacing w:line="560" w:lineRule="exact"/>
        <w:ind w:firstLine="640" w:firstLineChars="200"/>
        <w:jc w:val="left"/>
        <w:outlineLvl w:val="1"/>
        <w:rPr>
          <w:rFonts w:ascii="楷体" w:hAnsi="楷体" w:eastAsia="楷体" w:cs="Times New Roman"/>
          <w:sz w:val="32"/>
          <w:szCs w:val="32"/>
        </w:rPr>
      </w:pPr>
      <w:bookmarkStart w:id="19" w:name="_Toc1224"/>
      <w:bookmarkStart w:id="20" w:name="_Toc2315"/>
      <w:bookmarkStart w:id="21" w:name="_Toc4078"/>
      <w:r>
        <w:rPr>
          <w:rFonts w:ascii="楷体" w:hAnsi="楷体" w:eastAsia="楷体" w:cs="Times New Roman"/>
          <w:sz w:val="32"/>
          <w:szCs w:val="32"/>
        </w:rPr>
        <w:t>（二）部门单位整体支出使用情况</w:t>
      </w:r>
      <w:bookmarkEnd w:id="19"/>
      <w:bookmarkEnd w:id="20"/>
      <w:bookmarkEnd w:id="21"/>
    </w:p>
    <w:p>
      <w:pPr>
        <w:spacing w:line="560" w:lineRule="exact"/>
        <w:ind w:firstLine="624" w:firstLineChars="200"/>
        <w:jc w:val="left"/>
        <w:rPr>
          <w:rFonts w:ascii="Times New Roman" w:hAnsi="Times New Roman" w:eastAsia="仿宋_GB2312" w:cs="Times New Roman"/>
          <w:sz w:val="32"/>
          <w:szCs w:val="32"/>
        </w:rPr>
      </w:pPr>
      <w:r>
        <w:rPr>
          <w:rFonts w:ascii="Times New Roman" w:hAnsi="Times New Roman" w:eastAsia="仿宋_GB2312" w:cs="Times New Roman"/>
          <w:bCs/>
          <w:color w:val="000000"/>
          <w:spacing w:val="-4"/>
          <w:sz w:val="32"/>
          <w:szCs w:val="32"/>
        </w:rPr>
        <w:t>2025年</w:t>
      </w:r>
      <w:r>
        <w:rPr>
          <w:rFonts w:ascii="Times New Roman" w:hAnsi="Times New Roman" w:eastAsia="仿宋_GB2312" w:cs="Times New Roman"/>
          <w:bCs/>
          <w:color w:val="000000" w:themeColor="text1"/>
          <w:spacing w:val="-4"/>
          <w:sz w:val="32"/>
          <w:szCs w:val="32"/>
          <w14:textFill>
            <w14:solidFill>
              <w14:schemeClr w14:val="tx1"/>
            </w14:solidFill>
          </w14:textFill>
        </w:rPr>
        <w:t>自治区发展改革委</w:t>
      </w:r>
      <w:r>
        <w:rPr>
          <w:rFonts w:ascii="Times New Roman" w:hAnsi="Times New Roman" w:eastAsia="仿宋_GB2312" w:cs="Times New Roman"/>
          <w:bCs/>
          <w:color w:val="000000"/>
          <w:spacing w:val="-4"/>
          <w:sz w:val="32"/>
          <w:szCs w:val="32"/>
        </w:rPr>
        <w:t>总支出</w:t>
      </w:r>
      <w:r>
        <w:rPr>
          <w:rFonts w:hint="eastAsia" w:ascii="Times New Roman" w:hAnsi="Times New Roman" w:eastAsia="仿宋_GB2312" w:cs="Times New Roman"/>
          <w:bCs/>
          <w:color w:val="000000"/>
          <w:spacing w:val="-4"/>
          <w:sz w:val="32"/>
          <w:szCs w:val="32"/>
        </w:rPr>
        <w:t>180212.44</w:t>
      </w:r>
      <w:r>
        <w:rPr>
          <w:rFonts w:ascii="Times New Roman" w:hAnsi="Times New Roman" w:eastAsia="仿宋_GB2312" w:cs="Times New Roman"/>
          <w:bCs/>
          <w:color w:val="000000"/>
          <w:spacing w:val="-4"/>
          <w:sz w:val="32"/>
          <w:szCs w:val="32"/>
        </w:rPr>
        <w:t>万元</w:t>
      </w:r>
      <w:r>
        <w:rPr>
          <w:rFonts w:ascii="Times New Roman" w:hAnsi="Times New Roman" w:eastAsia="仿宋_GB2312" w:cs="Times New Roman"/>
          <w:bCs/>
          <w:color w:val="000000" w:themeColor="text1"/>
          <w:spacing w:val="-4"/>
          <w:sz w:val="32"/>
          <w:szCs w:val="32"/>
          <w14:textFill>
            <w14:solidFill>
              <w14:schemeClr w14:val="tx1"/>
            </w14:solidFill>
          </w14:textFill>
        </w:rPr>
        <w:t>（含代编预算155000万元）</w:t>
      </w:r>
      <w:r>
        <w:rPr>
          <w:rFonts w:ascii="Times New Roman" w:hAnsi="Times New Roman" w:eastAsia="仿宋_GB2312" w:cs="Times New Roman"/>
          <w:bCs/>
          <w:color w:val="000000"/>
          <w:spacing w:val="-4"/>
          <w:sz w:val="32"/>
          <w:szCs w:val="32"/>
        </w:rPr>
        <w:t>，预算执行率</w:t>
      </w:r>
      <w:r>
        <w:rPr>
          <w:rFonts w:hint="eastAsia" w:ascii="Times New Roman" w:hAnsi="Times New Roman" w:eastAsia="仿宋_GB2312" w:cs="Times New Roman"/>
          <w:bCs/>
          <w:color w:val="000000"/>
          <w:spacing w:val="-4"/>
          <w:sz w:val="32"/>
          <w:szCs w:val="32"/>
        </w:rPr>
        <w:t>99.04</w:t>
      </w:r>
      <w:r>
        <w:rPr>
          <w:rFonts w:ascii="Times New Roman" w:hAnsi="Times New Roman" w:eastAsia="仿宋_GB2312" w:cs="Times New Roman"/>
          <w:bCs/>
          <w:color w:val="000000"/>
          <w:spacing w:val="-4"/>
          <w:sz w:val="32"/>
          <w:szCs w:val="32"/>
        </w:rPr>
        <w:t>%，其中</w:t>
      </w:r>
      <w:r>
        <w:rPr>
          <w:rFonts w:hint="eastAsia" w:ascii="Times New Roman" w:hAnsi="Times New Roman" w:eastAsia="仿宋_GB2312" w:cs="Times New Roman"/>
          <w:bCs/>
          <w:color w:val="000000"/>
          <w:spacing w:val="-4"/>
          <w:sz w:val="32"/>
          <w:szCs w:val="32"/>
        </w:rPr>
        <w:t>：</w:t>
      </w:r>
      <w:r>
        <w:rPr>
          <w:rFonts w:ascii="Times New Roman" w:hAnsi="Times New Roman" w:eastAsia="仿宋_GB2312" w:cs="Times New Roman"/>
          <w:bCs/>
          <w:color w:val="000000"/>
          <w:spacing w:val="-4"/>
          <w:sz w:val="32"/>
          <w:szCs w:val="32"/>
        </w:rPr>
        <w:t>一般公共服务支出</w:t>
      </w:r>
      <w:r>
        <w:rPr>
          <w:rFonts w:hint="eastAsia" w:ascii="Times New Roman" w:hAnsi="Times New Roman" w:eastAsia="仿宋_GB2312" w:cs="Times New Roman"/>
          <w:bCs/>
          <w:color w:val="000000"/>
          <w:spacing w:val="-4"/>
          <w:sz w:val="32"/>
          <w:szCs w:val="32"/>
        </w:rPr>
        <w:t>174453.73</w:t>
      </w:r>
      <w:r>
        <w:rPr>
          <w:rFonts w:ascii="Times New Roman" w:hAnsi="Times New Roman" w:eastAsia="仿宋_GB2312" w:cs="Times New Roman"/>
          <w:bCs/>
          <w:color w:val="000000"/>
          <w:spacing w:val="-4"/>
          <w:sz w:val="32"/>
          <w:szCs w:val="32"/>
        </w:rPr>
        <w:t>万元</w:t>
      </w:r>
      <w:r>
        <w:rPr>
          <w:rFonts w:ascii="Times New Roman" w:hAnsi="Times New Roman" w:eastAsia="仿宋_GB2312" w:cs="Times New Roman"/>
          <w:bCs/>
          <w:color w:val="000000" w:themeColor="text1"/>
          <w:spacing w:val="-4"/>
          <w:sz w:val="32"/>
          <w:szCs w:val="32"/>
          <w14:textFill>
            <w14:solidFill>
              <w14:schemeClr w14:val="tx1"/>
            </w14:solidFill>
          </w14:textFill>
        </w:rPr>
        <w:t>（含代编预算155000万元）</w:t>
      </w:r>
      <w:r>
        <w:rPr>
          <w:rFonts w:ascii="Times New Roman" w:hAnsi="Times New Roman" w:eastAsia="仿宋_GB2312" w:cs="Times New Roman"/>
          <w:bCs/>
          <w:color w:val="000000"/>
          <w:spacing w:val="-4"/>
          <w:sz w:val="32"/>
          <w:szCs w:val="32"/>
        </w:rPr>
        <w:t>、社会保障和就业支出3103.92万元、卫生健康支出1056.51万元、节能环保支出795.95万元、住房保障支出797.32万元、灾害防治及应急管理支出5万元。</w:t>
      </w:r>
    </w:p>
    <w:p>
      <w:pPr>
        <w:spacing w:line="560" w:lineRule="exact"/>
        <w:ind w:firstLine="640" w:firstLineChars="200"/>
        <w:jc w:val="left"/>
        <w:outlineLvl w:val="2"/>
        <w:rPr>
          <w:rFonts w:ascii="Times New Roman" w:hAnsi="Times New Roman" w:eastAsia="仿宋_GB2312" w:cs="Times New Roman"/>
          <w:sz w:val="32"/>
          <w:szCs w:val="32"/>
        </w:rPr>
      </w:pPr>
      <w:bookmarkStart w:id="22" w:name="_Toc32320"/>
      <w:bookmarkStart w:id="23" w:name="_Toc11447"/>
      <w:bookmarkStart w:id="24" w:name="_Toc3380"/>
      <w:r>
        <w:rPr>
          <w:rFonts w:ascii="Times New Roman" w:hAnsi="Times New Roman" w:eastAsia="仿宋_GB2312" w:cs="Times New Roman"/>
          <w:sz w:val="32"/>
          <w:szCs w:val="32"/>
        </w:rPr>
        <w:t>1.基本支出</w:t>
      </w:r>
      <w:bookmarkEnd w:id="22"/>
      <w:r>
        <w:rPr>
          <w:rFonts w:ascii="Times New Roman" w:hAnsi="Times New Roman" w:eastAsia="仿宋_GB2312" w:cs="Times New Roman"/>
          <w:sz w:val="32"/>
          <w:szCs w:val="32"/>
        </w:rPr>
        <w:t>情况</w:t>
      </w:r>
      <w:bookmarkEnd w:id="23"/>
      <w:bookmarkEnd w:id="24"/>
    </w:p>
    <w:p>
      <w:pPr>
        <w:spacing w:line="560" w:lineRule="exact"/>
        <w:ind w:firstLine="640" w:firstLineChars="200"/>
        <w:rPr>
          <w:rStyle w:val="9"/>
          <w:rFonts w:ascii="Times New Roman" w:hAnsi="Times New Roman" w:eastAsia="仿宋_GB2312" w:cs="Times New Roman"/>
          <w:b w:val="0"/>
          <w:color w:val="000000"/>
          <w:spacing w:val="-4"/>
          <w:sz w:val="32"/>
          <w:szCs w:val="32"/>
        </w:rPr>
      </w:pPr>
      <w:r>
        <w:rPr>
          <w:rFonts w:ascii="Times New Roman" w:hAnsi="Times New Roman" w:eastAsia="仿宋_GB2312" w:cs="Times New Roman"/>
          <w:bCs/>
          <w:color w:val="000000"/>
          <w:sz w:val="32"/>
          <w:szCs w:val="32"/>
        </w:rPr>
        <w:t>2025年基本支出</w:t>
      </w:r>
      <w:r>
        <w:rPr>
          <w:rStyle w:val="9"/>
          <w:rFonts w:ascii="Times New Roman" w:hAnsi="Times New Roman" w:eastAsia="仿宋_GB2312" w:cs="Times New Roman"/>
          <w:b w:val="0"/>
          <w:color w:val="000000"/>
          <w:spacing w:val="-4"/>
          <w:sz w:val="32"/>
          <w:szCs w:val="32"/>
        </w:rPr>
        <w:t>14313.05万元，较上年减少1025.07万元，主要原因为2024年因机构改革原自治区发展改革委所属二级局新疆维吾尔自治区信息中心划转至自治区数字化发展局，经费支出相应减少。</w:t>
      </w:r>
    </w:p>
    <w:p>
      <w:pPr>
        <w:adjustRightInd w:val="0"/>
        <w:snapToGrid w:val="0"/>
        <w:spacing w:line="560" w:lineRule="exact"/>
        <w:ind w:firstLine="624" w:firstLineChars="200"/>
        <w:jc w:val="left"/>
        <w:rPr>
          <w:rFonts w:ascii="Times New Roman" w:hAnsi="Times New Roman" w:eastAsia="仿宋_GB2312" w:cs="Times New Roman"/>
          <w:bCs/>
          <w:color w:val="000000"/>
          <w:sz w:val="32"/>
          <w:szCs w:val="32"/>
        </w:rPr>
      </w:pPr>
      <w:r>
        <w:rPr>
          <w:rStyle w:val="9"/>
          <w:rFonts w:ascii="Times New Roman" w:hAnsi="Times New Roman" w:eastAsia="仿宋_GB2312" w:cs="Times New Roman"/>
          <w:b w:val="0"/>
          <w:color w:val="000000"/>
          <w:spacing w:val="-4"/>
          <w:sz w:val="32"/>
          <w:szCs w:val="32"/>
        </w:rPr>
        <w:t>基本支出中人员经费支出12789.42万元，主要包括</w:t>
      </w:r>
      <w:r>
        <w:rPr>
          <w:rFonts w:ascii="Times New Roman" w:hAnsi="Times New Roman" w:eastAsia="仿宋_GB2312" w:cs="Times New Roman"/>
          <w:bCs/>
          <w:color w:val="000000"/>
          <w:sz w:val="32"/>
          <w:szCs w:val="32"/>
        </w:rPr>
        <w:t>基本工资、津贴补贴、奖金、绩效工资、机关事业单位基本养老保险缴费、职业年金缴费、职工基本医疗保险缴费、公务员医疗补助缴费、其他社会保障缴费、住房公积金、其他工资福利支出、离休费、退休费、抚恤金、生活补助、奖励金、其他对个人和家庭的补助支出等。</w:t>
      </w:r>
    </w:p>
    <w:p>
      <w:pPr>
        <w:adjustRightInd w:val="0"/>
        <w:snapToGrid w:val="0"/>
        <w:spacing w:line="560" w:lineRule="exact"/>
        <w:ind w:firstLine="640" w:firstLineChars="200"/>
        <w:jc w:val="left"/>
        <w:rPr>
          <w:rFonts w:ascii="Times New Roman" w:hAnsi="Times New Roman" w:eastAsia="仿宋_GB2312" w:cs="Times New Roman"/>
          <w:b/>
          <w:color w:val="000000"/>
          <w:sz w:val="32"/>
          <w:szCs w:val="32"/>
        </w:rPr>
      </w:pPr>
      <w:r>
        <w:rPr>
          <w:rFonts w:ascii="Times New Roman" w:hAnsi="Times New Roman" w:eastAsia="仿宋_GB2312" w:cs="Times New Roman"/>
          <w:bCs/>
          <w:color w:val="000000"/>
          <w:sz w:val="32"/>
          <w:szCs w:val="32"/>
        </w:rPr>
        <w:t>基本支出中公用经费支出1523.63万元，主要包括办公费、印刷费、手续费、水费、电费、邮电费、取暖费、物业管理费、差旅费、维修费、培训费、公务接待费、劳务费、工会经费、福利费、公务用车运行维护费、其他交通费用、税金及附加费用、其他商品和服务支出。</w:t>
      </w:r>
    </w:p>
    <w:p>
      <w:pPr>
        <w:spacing w:line="560" w:lineRule="exact"/>
        <w:ind w:firstLine="640" w:firstLineChars="200"/>
        <w:jc w:val="left"/>
        <w:outlineLvl w:val="2"/>
        <w:rPr>
          <w:rFonts w:ascii="Times New Roman" w:hAnsi="Times New Roman" w:eastAsia="仿宋_GB2312" w:cs="Times New Roman"/>
          <w:sz w:val="32"/>
          <w:szCs w:val="32"/>
        </w:rPr>
      </w:pPr>
      <w:bookmarkStart w:id="25" w:name="_Toc30403"/>
      <w:bookmarkStart w:id="26" w:name="_Toc24100"/>
      <w:bookmarkStart w:id="27" w:name="_Toc8425"/>
      <w:r>
        <w:rPr>
          <w:rFonts w:ascii="Times New Roman" w:hAnsi="Times New Roman" w:eastAsia="仿宋_GB2312" w:cs="Times New Roman"/>
          <w:sz w:val="32"/>
          <w:szCs w:val="32"/>
        </w:rPr>
        <w:t>2.专项资金支出情况</w:t>
      </w:r>
      <w:bookmarkEnd w:id="25"/>
      <w:bookmarkEnd w:id="26"/>
      <w:bookmarkEnd w:id="27"/>
    </w:p>
    <w:p>
      <w:pPr>
        <w:spacing w:line="560" w:lineRule="exact"/>
        <w:ind w:firstLine="624" w:firstLineChars="200"/>
        <w:rPr>
          <w:rStyle w:val="9"/>
          <w:rFonts w:ascii="Times New Roman" w:hAnsi="Times New Roman" w:eastAsia="仿宋_GB2312" w:cs="Times New Roman"/>
          <w:b w:val="0"/>
          <w:color w:val="000000"/>
          <w:spacing w:val="-4"/>
          <w:sz w:val="32"/>
          <w:szCs w:val="32"/>
        </w:rPr>
      </w:pPr>
      <w:r>
        <w:rPr>
          <w:rStyle w:val="9"/>
          <w:rFonts w:ascii="Times New Roman" w:hAnsi="Times New Roman" w:eastAsia="仿宋_GB2312" w:cs="Times New Roman"/>
          <w:b w:val="0"/>
          <w:color w:val="000000"/>
          <w:spacing w:val="-4"/>
          <w:sz w:val="32"/>
          <w:szCs w:val="32"/>
        </w:rPr>
        <w:t>2025年项目支出</w:t>
      </w:r>
      <w:r>
        <w:rPr>
          <w:rStyle w:val="9"/>
          <w:rFonts w:hint="eastAsia" w:ascii="Times New Roman" w:hAnsi="Times New Roman" w:eastAsia="仿宋_GB2312" w:cs="Times New Roman"/>
          <w:b w:val="0"/>
          <w:color w:val="000000"/>
          <w:spacing w:val="-4"/>
          <w:sz w:val="32"/>
          <w:szCs w:val="32"/>
        </w:rPr>
        <w:t>165899.39</w:t>
      </w:r>
      <w:r>
        <w:rPr>
          <w:rStyle w:val="9"/>
          <w:rFonts w:ascii="Times New Roman" w:hAnsi="Times New Roman" w:eastAsia="仿宋_GB2312" w:cs="Times New Roman"/>
          <w:b w:val="0"/>
          <w:color w:val="000000"/>
          <w:spacing w:val="-4"/>
          <w:sz w:val="32"/>
          <w:szCs w:val="32"/>
        </w:rPr>
        <w:t>万元</w:t>
      </w:r>
      <w:r>
        <w:rPr>
          <w:rFonts w:ascii="Times New Roman" w:hAnsi="Times New Roman" w:eastAsia="仿宋_GB2312" w:cs="Times New Roman"/>
          <w:bCs/>
          <w:color w:val="000000" w:themeColor="text1"/>
          <w:spacing w:val="-4"/>
          <w:sz w:val="32"/>
          <w:szCs w:val="32"/>
          <w14:textFill>
            <w14:solidFill>
              <w14:schemeClr w14:val="tx1"/>
            </w14:solidFill>
          </w14:textFill>
        </w:rPr>
        <w:t>（含代编预算155000万元）</w:t>
      </w:r>
      <w:r>
        <w:rPr>
          <w:rStyle w:val="9"/>
          <w:rFonts w:ascii="Times New Roman" w:hAnsi="Times New Roman" w:eastAsia="仿宋_GB2312" w:cs="Times New Roman"/>
          <w:b w:val="0"/>
          <w:color w:val="000000"/>
          <w:spacing w:val="-4"/>
          <w:sz w:val="32"/>
          <w:szCs w:val="32"/>
        </w:rPr>
        <w:t>，较上年减少10962.52万元，主要原因为2024年因机构改革原自治区发展改革委所属二级局新疆维吾尔自治区信息中心划转至自治区数字化发展局，经费支出相应减少。</w:t>
      </w:r>
    </w:p>
    <w:p>
      <w:pPr>
        <w:pStyle w:val="13"/>
        <w:snapToGrid w:val="0"/>
        <w:spacing w:line="560" w:lineRule="exact"/>
        <w:ind w:firstLine="640"/>
        <w:rPr>
          <w:rStyle w:val="9"/>
          <w:rFonts w:ascii="Times New Roman" w:hAnsi="Times New Roman" w:eastAsia="仿宋_GB2312" w:cs="Times New Roman"/>
          <w:b w:val="0"/>
          <w:sz w:val="32"/>
          <w:szCs w:val="32"/>
          <w:highlight w:val="yellow"/>
          <w:lang w:bidi="ar"/>
        </w:rPr>
      </w:pPr>
      <w:r>
        <w:rPr>
          <w:rStyle w:val="9"/>
          <w:rFonts w:ascii="Times New Roman" w:hAnsi="Times New Roman" w:eastAsia="仿宋_GB2312" w:cs="Times New Roman"/>
          <w:b w:val="0"/>
          <w:sz w:val="32"/>
          <w:szCs w:val="32"/>
          <w:lang w:bidi="ar"/>
        </w:rPr>
        <w:t>2025年本单位共有21个资金项目，19个经常性项目，2个临时性项目</w:t>
      </w:r>
      <w:r>
        <w:rPr>
          <w:rStyle w:val="9"/>
          <w:rFonts w:ascii="Times New Roman" w:hAnsi="Times New Roman" w:eastAsia="仿宋_GB2312" w:cs="Times New Roman"/>
          <w:sz w:val="32"/>
          <w:szCs w:val="32"/>
          <w:lang w:bidi="ar"/>
        </w:rPr>
        <w:t>。</w:t>
      </w:r>
    </w:p>
    <w:p>
      <w:pPr>
        <w:spacing w:line="560" w:lineRule="exact"/>
        <w:ind w:firstLine="624" w:firstLineChars="200"/>
        <w:rPr>
          <w:rStyle w:val="9"/>
          <w:rFonts w:ascii="Times New Roman" w:hAnsi="Times New Roman" w:eastAsia="仿宋_GB2312" w:cs="Times New Roman"/>
          <w:b w:val="0"/>
          <w:color w:val="FF0000"/>
          <w:spacing w:val="-4"/>
          <w:sz w:val="32"/>
          <w:szCs w:val="32"/>
        </w:rPr>
      </w:pP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（1）</w:t>
      </w:r>
      <w:r>
        <w:rPr>
          <w:rStyle w:val="9"/>
          <w:rFonts w:ascii="Times New Roman" w:hAnsi="Times New Roman" w:eastAsia="仿宋_GB2312" w:cs="Times New Roman"/>
          <w:b w:val="0"/>
          <w:spacing w:val="-4"/>
          <w:kern w:val="0"/>
          <w:sz w:val="32"/>
          <w:szCs w:val="32"/>
        </w:rPr>
        <w:t>自治区预算内投资项目，</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年初预算数155000万元，全年预算数155000万元，预算执行数155000万元，执行率100%，主要用于</w:t>
      </w:r>
      <w:r>
        <w:rPr>
          <w:rFonts w:ascii="Times New Roman" w:hAnsi="Times New Roman" w:eastAsia="仿宋_GB2312" w:cs="Times New Roman"/>
          <w:sz w:val="32"/>
          <w:szCs w:val="32"/>
        </w:rPr>
        <w:t>为自治区每年下达定额指标，由自治区发展改革委负责分配至各单位及地州进行具体项目的建设；主要支持开展前瞻性课题研究和规划编制工作，支持事关自治区长远发展的重点项目加快前期工作，支持我区基础设施、社会事业等关键领域和薄弱环节重点工程建设。</w:t>
      </w:r>
    </w:p>
    <w:p>
      <w:pPr>
        <w:spacing w:line="560" w:lineRule="exact"/>
        <w:ind w:firstLine="624" w:firstLineChars="200"/>
        <w:rPr>
          <w:rFonts w:ascii="Times New Roman" w:hAnsi="Times New Roman" w:eastAsia="仿宋_GB2312" w:cs="Times New Roman"/>
          <w:sz w:val="32"/>
          <w:szCs w:val="32"/>
        </w:rPr>
      </w:pPr>
      <w:r>
        <w:rPr>
          <w:rStyle w:val="9"/>
          <w:rFonts w:ascii="Times New Roman" w:hAnsi="Times New Roman" w:eastAsia="仿宋_GB2312" w:cs="Times New Roman"/>
          <w:b w:val="0"/>
          <w:spacing w:val="-4"/>
          <w:kern w:val="0"/>
          <w:sz w:val="32"/>
          <w:szCs w:val="32"/>
        </w:rPr>
        <w:t>（2）发展和改革专项业务经费，</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年初预算数520万元，全年预算数520万元，预算执行数520万元，执行率100%，主要用于</w:t>
      </w:r>
      <w:r>
        <w:rPr>
          <w:rFonts w:ascii="Times New Roman" w:hAnsi="Times New Roman" w:eastAsia="仿宋_GB2312" w:cs="Times New Roman"/>
          <w:sz w:val="32"/>
          <w:szCs w:val="32"/>
        </w:rPr>
        <w:t>农产品成本调查、宣传服务专项成本、保密工作专项经费、发展和改革运转保障。</w:t>
      </w:r>
    </w:p>
    <w:p>
      <w:pPr>
        <w:spacing w:line="560" w:lineRule="exact"/>
        <w:ind w:firstLine="624" w:firstLineChars="200"/>
        <w:rPr>
          <w:rStyle w:val="9"/>
          <w:rFonts w:ascii="Times New Roman" w:hAnsi="Times New Roman" w:eastAsia="仿宋_GB2312" w:cs="Times New Roman"/>
          <w:b w:val="0"/>
          <w:color w:val="FF0000"/>
          <w:spacing w:val="-4"/>
          <w:sz w:val="32"/>
          <w:szCs w:val="32"/>
        </w:rPr>
      </w:pPr>
      <w:r>
        <w:rPr>
          <w:rStyle w:val="9"/>
          <w:rFonts w:ascii="Times New Roman" w:hAnsi="Times New Roman" w:eastAsia="仿宋_GB2312" w:cs="Times New Roman"/>
          <w:b w:val="0"/>
          <w:spacing w:val="-4"/>
          <w:kern w:val="0"/>
          <w:sz w:val="32"/>
          <w:szCs w:val="32"/>
        </w:rPr>
        <w:t>（3）能源工作专项经费</w:t>
      </w:r>
      <w:r>
        <w:rPr>
          <w:rStyle w:val="9"/>
          <w:rFonts w:ascii="Times New Roman" w:hAnsi="Times New Roman" w:eastAsia="仿宋_GB2312" w:cs="Times New Roman"/>
          <w:b w:val="0"/>
          <w:color w:val="000000" w:themeColor="text1"/>
          <w:spacing w:val="-4"/>
          <w:kern w:val="0"/>
          <w:sz w:val="32"/>
          <w:szCs w:val="32"/>
          <w14:textFill>
            <w14:solidFill>
              <w14:schemeClr w14:val="tx1"/>
            </w14:solidFill>
          </w14:textFill>
        </w:rPr>
        <w:t>，</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年初预算数91万元，全年预算数91万元，预算执行数91万元，执行率100%，主要用于</w:t>
      </w:r>
      <w:r>
        <w:rPr>
          <w:rFonts w:ascii="Times New Roman" w:hAnsi="Times New Roman" w:eastAsia="仿宋_GB2312" w:cs="Times New Roman"/>
          <w:sz w:val="32"/>
          <w:szCs w:val="32"/>
        </w:rPr>
        <w:t>安全生产普法宣传活动、开展电力安全生产及油气管道保护日常检查、赴14个地（州、市）及企业调研。</w:t>
      </w:r>
    </w:p>
    <w:p>
      <w:pPr>
        <w:spacing w:line="560" w:lineRule="exact"/>
        <w:ind w:firstLine="624" w:firstLineChars="200"/>
        <w:rPr>
          <w:rFonts w:ascii="Times New Roman" w:hAnsi="Times New Roman" w:eastAsia="仿宋_GB2312" w:cs="Times New Roman"/>
          <w:sz w:val="32"/>
          <w:szCs w:val="32"/>
        </w:rPr>
      </w:pPr>
      <w:r>
        <w:rPr>
          <w:rStyle w:val="9"/>
          <w:rFonts w:ascii="Times New Roman" w:hAnsi="Times New Roman" w:eastAsia="仿宋_GB2312" w:cs="Times New Roman"/>
          <w:b w:val="0"/>
          <w:spacing w:val="-4"/>
          <w:kern w:val="0"/>
          <w:sz w:val="32"/>
          <w:szCs w:val="32"/>
        </w:rPr>
        <w:t>（4）</w:t>
      </w:r>
      <w:r>
        <w:rPr>
          <w:rStyle w:val="9"/>
          <w:rFonts w:ascii="Times New Roman" w:hAnsi="Times New Roman" w:eastAsia="仿宋_GB2312" w:cs="Times New Roman"/>
          <w:b w:val="0"/>
          <w:color w:val="000000" w:themeColor="text1"/>
          <w:spacing w:val="-4"/>
          <w:kern w:val="0"/>
          <w:sz w:val="32"/>
          <w:szCs w:val="32"/>
          <w14:textFill>
            <w14:solidFill>
              <w14:schemeClr w14:val="tx1"/>
            </w14:solidFill>
          </w14:textFill>
        </w:rPr>
        <w:t>自治区“十五五”规划《纲要》编制经费，</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年初预算数0万元，全年预算数210.4万元，预算执行数156.11万元，执行率74.2%，主要用于支付自治区“十五五”规划编制费。</w:t>
      </w:r>
    </w:p>
    <w:p>
      <w:pPr>
        <w:spacing w:line="560" w:lineRule="exact"/>
        <w:ind w:firstLine="624" w:firstLineChars="200"/>
        <w:rPr>
          <w:rStyle w:val="9"/>
          <w:rFonts w:ascii="Times New Roman" w:hAnsi="Times New Roman" w:eastAsia="仿宋_GB2312" w:cs="Times New Roman"/>
          <w:b w:val="0"/>
          <w:color w:val="FF0000"/>
          <w:spacing w:val="-4"/>
          <w:sz w:val="32"/>
          <w:szCs w:val="32"/>
        </w:rPr>
      </w:pPr>
      <w:r>
        <w:rPr>
          <w:rStyle w:val="9"/>
          <w:rFonts w:ascii="Times New Roman" w:hAnsi="Times New Roman" w:eastAsia="仿宋_GB2312" w:cs="Times New Roman"/>
          <w:b w:val="0"/>
          <w:spacing w:val="-4"/>
          <w:kern w:val="0"/>
          <w:sz w:val="32"/>
          <w:szCs w:val="32"/>
        </w:rPr>
        <w:t>（5）2025年全社会节能减排资金，</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年初预算数0万元，全年预算数4500万元，预算执行数4500万元，执行率100%，主要用于</w:t>
      </w:r>
      <w:r>
        <w:rPr>
          <w:rFonts w:ascii="Times New Roman" w:hAnsi="Times New Roman" w:eastAsia="仿宋_GB2312" w:cs="Times New Roman"/>
          <w:color w:val="000000" w:themeColor="text1"/>
          <w:sz w:val="32"/>
          <w:szCs w:val="32"/>
          <w:shd w:val="clear" w:color="auto" w:fill="FFFFFF"/>
          <w14:textFill>
            <w14:solidFill>
              <w14:schemeClr w14:val="tx1"/>
            </w14:solidFill>
          </w14:textFill>
        </w:rPr>
        <w:t>2个建筑领域、1个交</w:t>
      </w:r>
      <w:r>
        <w:rPr>
          <w:rFonts w:ascii="Times New Roman" w:hAnsi="Times New Roman" w:eastAsia="仿宋_GB2312" w:cs="Times New Roman"/>
          <w:color w:val="333333"/>
          <w:sz w:val="32"/>
          <w:szCs w:val="32"/>
          <w:shd w:val="clear" w:color="auto" w:fill="FFFFFF"/>
        </w:rPr>
        <w:t>通领域节能降碳示范项目、自治区公共机构用能设备更新项目及绿色低碳改造项目，委托开展2025年固定资产投资项目节能报告评审、“十五五”碳达峰等5个规划编制、促进构建玩完善自治区碳排放双控政策体系，推进能源利用动态信息管理、能源统计能力建设、公共机构节能能力提升等节能能力建设，开展2025年度节能宣传、节能监察等，推进碳达峰试点城市建设。</w:t>
      </w:r>
    </w:p>
    <w:p>
      <w:pPr>
        <w:spacing w:line="560" w:lineRule="exact"/>
        <w:ind w:firstLine="624" w:firstLineChars="200"/>
        <w:rPr>
          <w:rStyle w:val="9"/>
          <w:rFonts w:ascii="Times New Roman" w:hAnsi="Times New Roman" w:eastAsia="仿宋_GB2312" w:cs="Times New Roman"/>
          <w:b w:val="0"/>
          <w:color w:val="000000" w:themeColor="text1"/>
          <w:spacing w:val="-4"/>
          <w:sz w:val="32"/>
          <w:szCs w:val="32"/>
          <w14:textFill>
            <w14:solidFill>
              <w14:schemeClr w14:val="tx1"/>
            </w14:solidFill>
          </w14:textFill>
        </w:rPr>
      </w:pPr>
      <w:r>
        <w:rPr>
          <w:rStyle w:val="9"/>
          <w:rFonts w:ascii="Times New Roman" w:hAnsi="Times New Roman" w:eastAsia="仿宋_GB2312" w:cs="Times New Roman"/>
          <w:b w:val="0"/>
          <w:spacing w:val="-4"/>
          <w:kern w:val="0"/>
          <w:sz w:val="32"/>
          <w:szCs w:val="32"/>
        </w:rPr>
        <w:t>（6）自治区物流统计监测工作经费，</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年初预算数20万元，全年预算数20万元，预算执行数20万元，执行率100%，主要用于</w:t>
      </w:r>
      <w:r>
        <w:rPr>
          <w:rFonts w:ascii="Times New Roman" w:hAnsi="Times New Roman" w:eastAsia="仿宋_GB2312" w:cs="Times New Roman"/>
          <w:color w:val="000000" w:themeColor="text1"/>
          <w:sz w:val="32"/>
          <w:szCs w:val="32"/>
          <w14:textFill>
            <w14:solidFill>
              <w14:schemeClr w14:val="tx1"/>
            </w14:solidFill>
          </w14:textFill>
        </w:rPr>
        <w:t>支持自治区物流行业协会，开展自治区物流统计监测工作</w:t>
      </w:r>
      <w:r>
        <w:rPr>
          <w:rFonts w:hint="eastAsia" w:ascii="Times New Roman" w:hAnsi="Times New Roman" w:eastAsia="仿宋_GB2312" w:cs="Times New Roman"/>
          <w:color w:val="000000" w:themeColor="text1"/>
          <w:sz w:val="32"/>
          <w:szCs w:val="32"/>
          <w14:textFill>
            <w14:solidFill>
              <w14:schemeClr w14:val="tx1"/>
            </w14:solidFill>
          </w14:textFill>
        </w:rPr>
        <w:t>。</w:t>
      </w:r>
    </w:p>
    <w:p>
      <w:pPr>
        <w:spacing w:line="560" w:lineRule="exact"/>
        <w:ind w:firstLine="624" w:firstLineChars="200"/>
        <w:rPr>
          <w:rStyle w:val="9"/>
          <w:rFonts w:ascii="Times New Roman" w:hAnsi="Times New Roman" w:eastAsia="仿宋_GB2312" w:cs="Times New Roman"/>
          <w:b w:val="0"/>
          <w:color w:val="FF0000"/>
          <w:spacing w:val="-4"/>
          <w:sz w:val="32"/>
          <w:szCs w:val="32"/>
        </w:rPr>
      </w:pPr>
      <w:r>
        <w:rPr>
          <w:rStyle w:val="9"/>
          <w:rFonts w:ascii="Times New Roman" w:hAnsi="Times New Roman" w:eastAsia="仿宋_GB2312" w:cs="Times New Roman"/>
          <w:b w:val="0"/>
          <w:spacing w:val="-4"/>
          <w:kern w:val="0"/>
          <w:sz w:val="32"/>
          <w:szCs w:val="32"/>
        </w:rPr>
        <w:t>（7）追加2025年自治区发展改革委工作经费，</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年初预算数0万元，全年预算数141.48万元，预算执行数92.04万元，执行率65.06%，主要用于弥补自治区发展改革委项目经费不足部分。</w:t>
      </w:r>
    </w:p>
    <w:p>
      <w:pPr>
        <w:spacing w:line="560" w:lineRule="exact"/>
        <w:ind w:firstLine="624" w:firstLineChars="200"/>
        <w:rPr>
          <w:rFonts w:ascii="Times New Roman" w:hAnsi="Times New Roman" w:eastAsia="仿宋_GB2312" w:cs="Times New Roman"/>
          <w:sz w:val="32"/>
          <w:szCs w:val="32"/>
        </w:rPr>
      </w:pPr>
      <w:r>
        <w:rPr>
          <w:rStyle w:val="9"/>
          <w:rFonts w:ascii="Times New Roman" w:hAnsi="Times New Roman" w:eastAsia="仿宋_GB2312" w:cs="Times New Roman"/>
          <w:b w:val="0"/>
          <w:spacing w:val="-4"/>
          <w:kern w:val="0"/>
          <w:sz w:val="32"/>
          <w:szCs w:val="32"/>
        </w:rPr>
        <w:t>（8）巡察工作经费，</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年初预算数5万元，全年预算数5万元，预算执行数5万元，执行率100%，主要用于</w:t>
      </w:r>
      <w:r>
        <w:rPr>
          <w:rFonts w:ascii="Times New Roman" w:hAnsi="Times New Roman" w:eastAsia="仿宋_GB2312" w:cs="Times New Roman"/>
          <w:sz w:val="32"/>
          <w:szCs w:val="32"/>
        </w:rPr>
        <w:t>开展内部巡察工作，推动全面从严治党向纵深发展。</w:t>
      </w:r>
    </w:p>
    <w:p>
      <w:pPr>
        <w:spacing w:line="560" w:lineRule="exact"/>
        <w:ind w:firstLine="624" w:firstLineChars="200"/>
        <w:rPr>
          <w:rStyle w:val="9"/>
          <w:rFonts w:ascii="Times New Roman" w:hAnsi="Times New Roman" w:eastAsia="仿宋_GB2312" w:cs="Times New Roman"/>
          <w:b w:val="0"/>
          <w:color w:val="FF0000"/>
          <w:spacing w:val="-4"/>
          <w:sz w:val="32"/>
          <w:szCs w:val="32"/>
        </w:rPr>
      </w:pPr>
      <w:r>
        <w:rPr>
          <w:rStyle w:val="9"/>
          <w:rFonts w:ascii="Times New Roman" w:hAnsi="Times New Roman" w:eastAsia="仿宋_GB2312" w:cs="Times New Roman"/>
          <w:b w:val="0"/>
          <w:spacing w:val="-4"/>
          <w:kern w:val="0"/>
          <w:sz w:val="32"/>
          <w:szCs w:val="32"/>
        </w:rPr>
        <w:t>（9）房租成本性支出及后勤保障专项经费，</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年初预算数283.9万元，全年预算数283.9万元，预算执行数243.26万元，执行率85.69%，主要用于委机关各项后勤服务保障及房租成本性支出。</w:t>
      </w:r>
    </w:p>
    <w:p>
      <w:pPr>
        <w:spacing w:line="560" w:lineRule="exact"/>
        <w:ind w:firstLine="624" w:firstLineChars="200"/>
        <w:rPr>
          <w:rStyle w:val="9"/>
          <w:rFonts w:ascii="Times New Roman" w:hAnsi="Times New Roman" w:eastAsia="仿宋_GB2312" w:cs="Times New Roman"/>
          <w:b w:val="0"/>
          <w:color w:val="000000" w:themeColor="text1"/>
          <w:spacing w:val="-4"/>
          <w:sz w:val="32"/>
          <w:szCs w:val="32"/>
          <w14:textFill>
            <w14:solidFill>
              <w14:schemeClr w14:val="tx1"/>
            </w14:solidFill>
          </w14:textFill>
        </w:rPr>
      </w:pPr>
      <w:r>
        <w:rPr>
          <w:rStyle w:val="9"/>
          <w:rFonts w:ascii="Times New Roman" w:hAnsi="Times New Roman" w:eastAsia="仿宋_GB2312" w:cs="Times New Roman"/>
          <w:b w:val="0"/>
          <w:spacing w:val="-4"/>
          <w:kern w:val="0"/>
          <w:sz w:val="32"/>
          <w:szCs w:val="32"/>
        </w:rPr>
        <w:t>（10）全区发展改革系统宣传教育业务经费</w:t>
      </w:r>
      <w:r>
        <w:rPr>
          <w:rStyle w:val="9"/>
          <w:rFonts w:ascii="Times New Roman" w:hAnsi="Times New Roman" w:eastAsia="仿宋_GB2312" w:cs="Times New Roman"/>
          <w:b w:val="0"/>
          <w:color w:val="000000" w:themeColor="text1"/>
          <w:spacing w:val="-4"/>
          <w:kern w:val="0"/>
          <w:sz w:val="32"/>
          <w:szCs w:val="32"/>
          <w14:textFill>
            <w14:solidFill>
              <w14:schemeClr w14:val="tx1"/>
            </w14:solidFill>
          </w14:textFill>
        </w:rPr>
        <w:t>，</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年初预算数180万元，全年预算数180万元，预算执行数77.78万元，执行率43.21%，主要用于全区</w:t>
      </w:r>
      <w:r>
        <w:rPr>
          <w:rStyle w:val="9"/>
          <w:rFonts w:ascii="Times New Roman" w:hAnsi="Times New Roman" w:eastAsia="仿宋_GB2312" w:cs="Times New Roman"/>
          <w:b w:val="0"/>
          <w:spacing w:val="-4"/>
          <w:kern w:val="0"/>
          <w:sz w:val="32"/>
          <w:szCs w:val="32"/>
        </w:rPr>
        <w:t>发展改革</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系统培训、宣传。</w:t>
      </w:r>
    </w:p>
    <w:p>
      <w:pPr>
        <w:spacing w:line="560" w:lineRule="exact"/>
        <w:ind w:firstLine="624" w:firstLineChars="200"/>
        <w:rPr>
          <w:rStyle w:val="9"/>
          <w:rFonts w:ascii="Times New Roman" w:hAnsi="Times New Roman" w:eastAsia="仿宋_GB2312" w:cs="Times New Roman"/>
          <w:b w:val="0"/>
          <w:color w:val="000000" w:themeColor="text1"/>
          <w:spacing w:val="-4"/>
          <w:sz w:val="32"/>
          <w:szCs w:val="32"/>
          <w14:textFill>
            <w14:solidFill>
              <w14:schemeClr w14:val="tx1"/>
            </w14:solidFill>
          </w14:textFill>
        </w:rPr>
      </w:pPr>
      <w:r>
        <w:rPr>
          <w:rStyle w:val="9"/>
          <w:rFonts w:ascii="Times New Roman" w:hAnsi="Times New Roman" w:eastAsia="仿宋_GB2312" w:cs="Times New Roman"/>
          <w:b w:val="0"/>
          <w:spacing w:val="-4"/>
          <w:kern w:val="0"/>
          <w:sz w:val="32"/>
          <w:szCs w:val="32"/>
        </w:rPr>
        <w:t>（11）公务用车更新购置，</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年初预算数18万元，全年预算数18万元，预算执行数17.79万元，执行率98.83%，主要用于车辆购置。</w:t>
      </w:r>
      <w:r>
        <w:rPr>
          <w:rStyle w:val="9"/>
          <w:rFonts w:hint="eastAsia" w:ascii="Times New Roman" w:hAnsi="Times New Roman" w:eastAsia="仿宋_GB2312" w:cs="Times New Roman"/>
          <w:b w:val="0"/>
          <w:color w:val="000000" w:themeColor="text1"/>
          <w:spacing w:val="-4"/>
          <w:sz w:val="32"/>
          <w:szCs w:val="32"/>
          <w14:textFill>
            <w14:solidFill>
              <w14:schemeClr w14:val="tx1"/>
            </w14:solidFill>
          </w14:textFill>
        </w:rPr>
        <w:t xml:space="preserve"> </w:t>
      </w:r>
    </w:p>
    <w:p>
      <w:pPr>
        <w:spacing w:line="560" w:lineRule="exact"/>
        <w:ind w:firstLine="624" w:firstLineChars="200"/>
        <w:rPr>
          <w:rStyle w:val="9"/>
          <w:rFonts w:ascii="Times New Roman" w:hAnsi="Times New Roman" w:eastAsia="仿宋_GB2312" w:cs="Times New Roman"/>
          <w:b w:val="0"/>
          <w:color w:val="000000" w:themeColor="text1"/>
          <w:spacing w:val="-4"/>
          <w:sz w:val="32"/>
          <w:szCs w:val="32"/>
          <w14:textFill>
            <w14:solidFill>
              <w14:schemeClr w14:val="tx1"/>
            </w14:solidFill>
          </w14:textFill>
        </w:rPr>
      </w:pPr>
      <w:r>
        <w:rPr>
          <w:rStyle w:val="9"/>
          <w:rFonts w:ascii="Times New Roman" w:hAnsi="Times New Roman" w:eastAsia="仿宋_GB2312" w:cs="Times New Roman"/>
          <w:b w:val="0"/>
          <w:spacing w:val="-4"/>
          <w:kern w:val="0"/>
          <w:sz w:val="32"/>
          <w:szCs w:val="32"/>
        </w:rPr>
        <w:t>（12）2025年课题研究及决策咨询服务项目，</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年初预算数1785.66万元，全年预算数1785.66万元，预算执行数1779.9万元，执行率99.68%，主要用于保障课题研究产生的各项经费。</w:t>
      </w:r>
    </w:p>
    <w:p>
      <w:pPr>
        <w:spacing w:line="560" w:lineRule="exact"/>
        <w:ind w:firstLine="624" w:firstLineChars="200"/>
        <w:rPr>
          <w:rStyle w:val="9"/>
          <w:rFonts w:ascii="Times New Roman" w:hAnsi="Times New Roman" w:eastAsia="仿宋_GB2312" w:cs="Times New Roman"/>
          <w:b w:val="0"/>
          <w:color w:val="FF0000"/>
          <w:spacing w:val="-4"/>
          <w:sz w:val="32"/>
          <w:szCs w:val="32"/>
        </w:rPr>
      </w:pPr>
      <w:r>
        <w:rPr>
          <w:rStyle w:val="9"/>
          <w:rFonts w:ascii="Times New Roman" w:hAnsi="Times New Roman" w:eastAsia="仿宋_GB2312" w:cs="Times New Roman"/>
          <w:b w:val="0"/>
          <w:spacing w:val="-4"/>
          <w:kern w:val="0"/>
          <w:sz w:val="32"/>
          <w:szCs w:val="32"/>
        </w:rPr>
        <w:t>（13）咨询评估业务专项经费，</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年初预算数800万元，全年预算数800万元，预算执行数728.79万元，执行率91.1%，主要用于弥补单位公用经费不足部分，核增绩效工资及咨询评审项目产生的成本性支出。</w:t>
      </w:r>
    </w:p>
    <w:p>
      <w:pPr>
        <w:spacing w:line="560" w:lineRule="exact"/>
        <w:ind w:firstLine="624" w:firstLineChars="200"/>
        <w:rPr>
          <w:rStyle w:val="9"/>
          <w:rFonts w:ascii="Times New Roman" w:hAnsi="Times New Roman" w:eastAsia="仿宋_GB2312" w:cs="Times New Roman"/>
          <w:b w:val="0"/>
          <w:color w:val="000000" w:themeColor="text1"/>
          <w:spacing w:val="-4"/>
          <w:sz w:val="32"/>
          <w:szCs w:val="32"/>
          <w14:textFill>
            <w14:solidFill>
              <w14:schemeClr w14:val="tx1"/>
            </w14:solidFill>
          </w14:textFill>
        </w:rPr>
      </w:pPr>
      <w:r>
        <w:rPr>
          <w:rStyle w:val="9"/>
          <w:rFonts w:ascii="Times New Roman" w:hAnsi="Times New Roman" w:eastAsia="仿宋_GB2312" w:cs="Times New Roman"/>
          <w:b w:val="0"/>
          <w:spacing w:val="-4"/>
          <w:kern w:val="0"/>
          <w:sz w:val="32"/>
          <w:szCs w:val="32"/>
        </w:rPr>
        <w:t>（14）价格认定专项业务经费，</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年初预算数10万元，全年预算数10万元，预算执行数10万元，执行率100%，主要用于支付办理涉刑事案件、涉纪案件、涉税财物价格认定产生的差旅费。</w:t>
      </w:r>
    </w:p>
    <w:p>
      <w:pPr>
        <w:spacing w:line="560" w:lineRule="exact"/>
        <w:ind w:firstLine="624" w:firstLineChars="200"/>
        <w:rPr>
          <w:rStyle w:val="9"/>
          <w:rFonts w:ascii="Times New Roman" w:hAnsi="Times New Roman" w:eastAsia="仿宋_GB2312" w:cs="Times New Roman"/>
          <w:b w:val="0"/>
          <w:color w:val="000000" w:themeColor="text1"/>
          <w:spacing w:val="-4"/>
          <w:sz w:val="32"/>
          <w:szCs w:val="32"/>
          <w14:textFill>
            <w14:solidFill>
              <w14:schemeClr w14:val="tx1"/>
            </w14:solidFill>
          </w14:textFill>
        </w:rPr>
      </w:pPr>
      <w:r>
        <w:rPr>
          <w:rStyle w:val="9"/>
          <w:rFonts w:ascii="Times New Roman" w:hAnsi="Times New Roman" w:eastAsia="仿宋_GB2312" w:cs="Times New Roman"/>
          <w:b w:val="0"/>
          <w:spacing w:val="-4"/>
          <w:kern w:val="0"/>
          <w:sz w:val="32"/>
          <w:szCs w:val="32"/>
        </w:rPr>
        <w:t>（15）价格认定工作经费，</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年初预算数30万元，全年预算数30万元，预算执行数23.77万元，执行率79.23%，主要用于弥补财政拨款项目不足经费。</w:t>
      </w:r>
    </w:p>
    <w:p>
      <w:pPr>
        <w:spacing w:line="560" w:lineRule="exact"/>
        <w:ind w:firstLine="624" w:firstLineChars="200"/>
        <w:rPr>
          <w:rStyle w:val="9"/>
          <w:rFonts w:ascii="Times New Roman" w:hAnsi="Times New Roman" w:eastAsia="仿宋_GB2312" w:cs="Times New Roman"/>
          <w:b w:val="0"/>
          <w:color w:val="000000" w:themeColor="text1"/>
          <w:spacing w:val="-4"/>
          <w:sz w:val="32"/>
          <w:szCs w:val="32"/>
          <w14:textFill>
            <w14:solidFill>
              <w14:schemeClr w14:val="tx1"/>
            </w14:solidFill>
          </w14:textFill>
        </w:rPr>
      </w:pPr>
      <w:r>
        <w:rPr>
          <w:rStyle w:val="9"/>
          <w:rFonts w:ascii="Times New Roman" w:hAnsi="Times New Roman" w:eastAsia="仿宋_GB2312" w:cs="Times New Roman"/>
          <w:b w:val="0"/>
          <w:spacing w:val="-4"/>
          <w:kern w:val="0"/>
          <w:sz w:val="32"/>
          <w:szCs w:val="32"/>
        </w:rPr>
        <w:t>（16）代建项目管理费，</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年初预算数15万元，全年预算数15万元，预算执行数15万元，执行率100%，主要用于</w:t>
      </w:r>
      <w:r>
        <w:rPr>
          <w:rStyle w:val="9"/>
          <w:rFonts w:hint="eastAsia" w:ascii="Times New Roman" w:hAnsi="Times New Roman" w:eastAsia="仿宋_GB2312" w:cs="Times New Roman"/>
          <w:b w:val="0"/>
          <w:color w:val="000000" w:themeColor="text1"/>
          <w:spacing w:val="-4"/>
          <w:sz w:val="32"/>
          <w:szCs w:val="32"/>
          <w14:textFill>
            <w14:solidFill>
              <w14:schemeClr w14:val="tx1"/>
            </w14:solidFill>
          </w14:textFill>
        </w:rPr>
        <w:t xml:space="preserve">支付用于代建管理的自治区党校新校区建设项目、党员教育中心的职工食堂和车库项目、0321和1229，4个在建项目前期审批、差旅费等相关工作经费开支。 </w:t>
      </w:r>
    </w:p>
    <w:p>
      <w:pPr>
        <w:spacing w:line="560" w:lineRule="exact"/>
        <w:ind w:firstLine="624" w:firstLineChars="200"/>
        <w:rPr>
          <w:rStyle w:val="9"/>
          <w:rFonts w:ascii="Times New Roman" w:hAnsi="Times New Roman" w:eastAsia="仿宋_GB2312" w:cs="Times New Roman"/>
          <w:b w:val="0"/>
          <w:color w:val="000000" w:themeColor="text1"/>
          <w:spacing w:val="-4"/>
          <w:sz w:val="32"/>
          <w:szCs w:val="32"/>
          <w14:textFill>
            <w14:solidFill>
              <w14:schemeClr w14:val="tx1"/>
            </w14:solidFill>
          </w14:textFill>
        </w:rPr>
      </w:pPr>
      <w:r>
        <w:rPr>
          <w:rStyle w:val="9"/>
          <w:rFonts w:ascii="Times New Roman" w:hAnsi="Times New Roman" w:eastAsia="仿宋_GB2312" w:cs="Times New Roman"/>
          <w:b w:val="0"/>
          <w:spacing w:val="-4"/>
          <w:kern w:val="0"/>
          <w:sz w:val="32"/>
          <w:szCs w:val="32"/>
        </w:rPr>
        <w:t>（17）代建中心日常运行维护专项经费</w:t>
      </w:r>
      <w:r>
        <w:rPr>
          <w:rStyle w:val="9"/>
          <w:rFonts w:ascii="Times New Roman" w:hAnsi="Times New Roman" w:eastAsia="仿宋_GB2312" w:cs="Times New Roman"/>
          <w:b w:val="0"/>
          <w:color w:val="000000" w:themeColor="text1"/>
          <w:spacing w:val="-4"/>
          <w:kern w:val="0"/>
          <w:sz w:val="32"/>
          <w:szCs w:val="32"/>
          <w14:textFill>
            <w14:solidFill>
              <w14:schemeClr w14:val="tx1"/>
            </w14:solidFill>
          </w14:textFill>
        </w:rPr>
        <w:t>，</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年初预算数30万元，全年预算数30万元，预算执行数6.74万元，执行率22.47%，主要用于弥补单位公用经费不足部分经费开支。</w:t>
      </w:r>
    </w:p>
    <w:p>
      <w:pPr>
        <w:spacing w:line="560" w:lineRule="exact"/>
        <w:ind w:firstLine="624" w:firstLineChars="200"/>
        <w:rPr>
          <w:rFonts w:ascii="Times New Roman" w:hAnsi="Times New Roman" w:eastAsia="仿宋_GB2312" w:cs="Times New Roman"/>
          <w:color w:val="000000" w:themeColor="text1"/>
          <w:sz w:val="32"/>
          <w:szCs w:val="32"/>
          <w:shd w:val="clear" w:color="auto" w:fill="FFFFFF"/>
          <w14:textFill>
            <w14:solidFill>
              <w14:schemeClr w14:val="tx1"/>
            </w14:solidFill>
          </w14:textFill>
        </w:rPr>
      </w:pPr>
      <w:r>
        <w:rPr>
          <w:rStyle w:val="9"/>
          <w:rFonts w:ascii="Times New Roman" w:hAnsi="Times New Roman" w:eastAsia="仿宋_GB2312" w:cs="Times New Roman"/>
          <w:b w:val="0"/>
          <w:spacing w:val="-4"/>
          <w:kern w:val="0"/>
          <w:sz w:val="32"/>
          <w:szCs w:val="32"/>
        </w:rPr>
        <w:t>（18）价格监测专项业务经</w:t>
      </w:r>
      <w:r>
        <w:rPr>
          <w:rStyle w:val="9"/>
          <w:rFonts w:ascii="Times New Roman" w:hAnsi="Times New Roman" w:eastAsia="仿宋_GB2312" w:cs="Times New Roman"/>
          <w:b w:val="0"/>
          <w:color w:val="000000" w:themeColor="text1"/>
          <w:spacing w:val="-4"/>
          <w:kern w:val="0"/>
          <w:sz w:val="32"/>
          <w:szCs w:val="32"/>
          <w14:textFill>
            <w14:solidFill>
              <w14:schemeClr w14:val="tx1"/>
            </w14:solidFill>
          </w14:textFill>
        </w:rPr>
        <w:t>费，</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年初预算数14万元，全年预算数14万元，预算执行数14万元，执行率100%，主要用于</w:t>
      </w:r>
      <w:r>
        <w:rPr>
          <w:rFonts w:ascii="Times New Roman" w:hAnsi="Times New Roman" w:eastAsia="仿宋_GB2312" w:cs="Times New Roman"/>
          <w:color w:val="000000" w:themeColor="text1"/>
          <w:sz w:val="32"/>
          <w:szCs w:val="32"/>
          <w:shd w:val="clear" w:color="auto" w:fill="FFFFFF"/>
          <w14:textFill>
            <w14:solidFill>
              <w14:schemeClr w14:val="tx1"/>
            </w14:solidFill>
          </w14:textFill>
        </w:rPr>
        <w:t>全区的价格监测工作支付的差旅费、培训费、劳务费。</w:t>
      </w:r>
    </w:p>
    <w:p>
      <w:pPr>
        <w:spacing w:line="560" w:lineRule="exact"/>
        <w:ind w:firstLine="624" w:firstLineChars="200"/>
        <w:rPr>
          <w:rStyle w:val="9"/>
          <w:rFonts w:ascii="Times New Roman" w:hAnsi="Times New Roman" w:eastAsia="仿宋_GB2312" w:cs="Times New Roman"/>
          <w:b w:val="0"/>
          <w:color w:val="000000" w:themeColor="text1"/>
          <w:spacing w:val="-4"/>
          <w:sz w:val="32"/>
          <w:szCs w:val="32"/>
          <w14:textFill>
            <w14:solidFill>
              <w14:schemeClr w14:val="tx1"/>
            </w14:solidFill>
          </w14:textFill>
        </w:rPr>
      </w:pPr>
      <w:r>
        <w:rPr>
          <w:rStyle w:val="9"/>
          <w:rFonts w:ascii="Times New Roman" w:hAnsi="Times New Roman" w:eastAsia="仿宋_GB2312" w:cs="Times New Roman"/>
          <w:b w:val="0"/>
          <w:spacing w:val="-4"/>
          <w:kern w:val="0"/>
          <w:sz w:val="32"/>
          <w:szCs w:val="32"/>
        </w:rPr>
        <w:t>（19）价格监测专项工作经费</w:t>
      </w:r>
      <w:r>
        <w:rPr>
          <w:rStyle w:val="9"/>
          <w:rFonts w:ascii="Times New Roman" w:hAnsi="Times New Roman" w:eastAsia="仿宋_GB2312" w:cs="Times New Roman"/>
          <w:b w:val="0"/>
          <w:color w:val="000000" w:themeColor="text1"/>
          <w:spacing w:val="-4"/>
          <w:kern w:val="0"/>
          <w:sz w:val="32"/>
          <w:szCs w:val="32"/>
          <w14:textFill>
            <w14:solidFill>
              <w14:schemeClr w14:val="tx1"/>
            </w14:solidFill>
          </w14:textFill>
        </w:rPr>
        <w:t>，</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 xml:space="preserve">年初预算数40万元，全年预算数40万元，预算执行数40万元，执行率100%，主要用于全区价格监测工作产生的差旅费，以及弥补日常公用经费不足部分。 </w:t>
      </w:r>
    </w:p>
    <w:p>
      <w:pPr>
        <w:spacing w:line="560" w:lineRule="exact"/>
        <w:ind w:firstLine="624" w:firstLineChars="200"/>
        <w:rPr>
          <w:rStyle w:val="9"/>
          <w:rFonts w:ascii="Times New Roman" w:hAnsi="Times New Roman" w:eastAsia="仿宋_GB2312" w:cs="Times New Roman"/>
          <w:b w:val="0"/>
          <w:color w:val="000000" w:themeColor="text1"/>
          <w:spacing w:val="-4"/>
          <w:sz w:val="32"/>
          <w:szCs w:val="32"/>
          <w14:textFill>
            <w14:solidFill>
              <w14:schemeClr w14:val="tx1"/>
            </w14:solidFill>
          </w14:textFill>
        </w:rPr>
      </w:pPr>
      <w:r>
        <w:rPr>
          <w:rStyle w:val="9"/>
          <w:rFonts w:ascii="Times New Roman" w:hAnsi="Times New Roman" w:eastAsia="仿宋_GB2312" w:cs="Times New Roman"/>
          <w:b w:val="0"/>
          <w:spacing w:val="-4"/>
          <w:kern w:val="0"/>
          <w:sz w:val="32"/>
          <w:szCs w:val="32"/>
        </w:rPr>
        <w:t>（20）能源监测专项业务费</w:t>
      </w:r>
      <w:r>
        <w:rPr>
          <w:rStyle w:val="9"/>
          <w:rFonts w:ascii="Times New Roman" w:hAnsi="Times New Roman" w:eastAsia="仿宋_GB2312" w:cs="Times New Roman"/>
          <w:b w:val="0"/>
          <w:color w:val="000000" w:themeColor="text1"/>
          <w:spacing w:val="-4"/>
          <w:kern w:val="0"/>
          <w:sz w:val="32"/>
          <w:szCs w:val="32"/>
          <w14:textFill>
            <w14:solidFill>
              <w14:schemeClr w14:val="tx1"/>
            </w14:solidFill>
          </w14:textFill>
        </w:rPr>
        <w:t>，</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年初预算数28万元，全年预算数28万元，预算执行数28万元，执行率100%，主要用于全区</w:t>
      </w:r>
      <w:r>
        <w:rPr>
          <w:rFonts w:ascii="Times New Roman" w:hAnsi="Times New Roman" w:eastAsia="仿宋_GB2312" w:cs="Times New Roman"/>
          <w:color w:val="000000" w:themeColor="text1"/>
          <w:sz w:val="32"/>
          <w:szCs w:val="32"/>
          <w:shd w:val="clear" w:color="auto" w:fill="FFFFFF"/>
          <w14:textFill>
            <w14:solidFill>
              <w14:schemeClr w14:val="tx1"/>
            </w14:solidFill>
          </w14:textFill>
        </w:rPr>
        <w:t>煤炭、电力、油气管道保护监测分析产生的各项费用。</w:t>
      </w:r>
    </w:p>
    <w:p>
      <w:pPr>
        <w:spacing w:line="560" w:lineRule="exact"/>
        <w:ind w:firstLine="624" w:firstLineChars="200"/>
        <w:rPr>
          <w:rStyle w:val="9"/>
          <w:rFonts w:ascii="Times New Roman" w:hAnsi="Times New Roman" w:eastAsia="仿宋_GB2312" w:cs="Times New Roman"/>
          <w:b w:val="0"/>
          <w:color w:val="000000" w:themeColor="text1"/>
          <w:spacing w:val="-4"/>
          <w:sz w:val="32"/>
          <w:szCs w:val="32"/>
          <w14:textFill>
            <w14:solidFill>
              <w14:schemeClr w14:val="tx1"/>
            </w14:solidFill>
          </w14:textFill>
        </w:rPr>
      </w:pPr>
      <w:r>
        <w:rPr>
          <w:rStyle w:val="9"/>
          <w:rFonts w:ascii="Times New Roman" w:hAnsi="Times New Roman" w:eastAsia="仿宋_GB2312" w:cs="Times New Roman"/>
          <w:b w:val="0"/>
          <w:spacing w:val="-4"/>
          <w:kern w:val="0"/>
          <w:sz w:val="32"/>
          <w:szCs w:val="32"/>
        </w:rPr>
        <w:t>（21）新疆融资信用服务平台运维管理费，</w:t>
      </w:r>
      <w:bookmarkStart w:id="28" w:name="_Toc7842"/>
      <w:bookmarkStart w:id="29" w:name="_Toc31045"/>
      <w:bookmarkStart w:id="30" w:name="_Toc26343"/>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年初预算数27万元，全年预算数27万元，预算执行数27万元，执行率100%，主要用于新疆“信易贷”平台运维费。</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3.部门单位专项组织实施情况</w:t>
      </w:r>
      <w:bookmarkEnd w:id="28"/>
      <w:bookmarkEnd w:id="29"/>
      <w:bookmarkEnd w:id="30"/>
    </w:p>
    <w:p>
      <w:pPr>
        <w:spacing w:line="560" w:lineRule="exact"/>
        <w:ind w:firstLine="624" w:firstLineChars="200"/>
        <w:rPr>
          <w:rStyle w:val="9"/>
          <w:rFonts w:ascii="Times New Roman" w:hAnsi="Times New Roman" w:eastAsia="仿宋_GB2312" w:cs="Times New Roman"/>
          <w:b w:val="0"/>
          <w:color w:val="000000"/>
          <w:spacing w:val="-4"/>
          <w:sz w:val="32"/>
          <w:szCs w:val="32"/>
        </w:rPr>
      </w:pPr>
      <w:r>
        <w:rPr>
          <w:rFonts w:ascii="Times New Roman" w:hAnsi="Times New Roman" w:eastAsia="仿宋_GB2312" w:cs="Times New Roman"/>
          <w:bCs/>
          <w:color w:val="000000" w:themeColor="text1"/>
          <w:spacing w:val="-4"/>
          <w:sz w:val="32"/>
          <w:szCs w:val="32"/>
          <w14:textFill>
            <w14:solidFill>
              <w14:schemeClr w14:val="tx1"/>
            </w14:solidFill>
          </w14:textFill>
        </w:rPr>
        <w:t>自治区发展改革委</w:t>
      </w:r>
      <w:r>
        <w:rPr>
          <w:rStyle w:val="9"/>
          <w:rFonts w:ascii="Times New Roman" w:hAnsi="Times New Roman" w:eastAsia="仿宋_GB2312" w:cs="Times New Roman"/>
          <w:b w:val="0"/>
          <w:color w:val="000000"/>
          <w:spacing w:val="-4"/>
          <w:sz w:val="32"/>
          <w:szCs w:val="32"/>
        </w:rPr>
        <w:t>高度重视专项工作的规范管理与有效实施，通过建立健全“谋划科学、责任明晰、监控有力、防控到位”的组织实施体系，确保各项专项任务高质量推进、资金安全高效使用。</w:t>
      </w:r>
    </w:p>
    <w:p>
      <w:pPr>
        <w:spacing w:line="560" w:lineRule="exact"/>
        <w:ind w:left="399" w:leftChars="190"/>
        <w:rPr>
          <w:rStyle w:val="9"/>
          <w:rFonts w:ascii="Times New Roman" w:hAnsi="Times New Roman" w:eastAsia="仿宋_GB2312" w:cs="Times New Roman"/>
          <w:b w:val="0"/>
          <w:color w:val="000000"/>
          <w:spacing w:val="-4"/>
          <w:sz w:val="32"/>
          <w:szCs w:val="32"/>
        </w:rPr>
      </w:pPr>
      <w:r>
        <w:rPr>
          <w:rStyle w:val="9"/>
          <w:rFonts w:ascii="Times New Roman" w:hAnsi="Times New Roman" w:eastAsia="仿宋_GB2312" w:cs="Times New Roman"/>
          <w:b w:val="0"/>
          <w:color w:val="000000"/>
          <w:spacing w:val="-4"/>
          <w:sz w:val="32"/>
          <w:szCs w:val="32"/>
        </w:rPr>
        <w:t>（1）强化规划论证，夯实实施基础</w:t>
      </w:r>
    </w:p>
    <w:p>
      <w:pPr>
        <w:spacing w:line="560" w:lineRule="exact"/>
        <w:ind w:firstLine="624" w:firstLineChars="200"/>
        <w:rPr>
          <w:rStyle w:val="9"/>
          <w:rFonts w:ascii="Times New Roman" w:hAnsi="Times New Roman" w:eastAsia="仿宋_GB2312" w:cs="Times New Roman"/>
          <w:b w:val="0"/>
          <w:color w:val="000000"/>
          <w:spacing w:val="-4"/>
          <w:sz w:val="32"/>
          <w:szCs w:val="32"/>
        </w:rPr>
      </w:pPr>
      <w:r>
        <w:rPr>
          <w:rStyle w:val="9"/>
          <w:rFonts w:hint="eastAsia" w:ascii="Times New Roman" w:hAnsi="Times New Roman" w:eastAsia="仿宋_GB2312" w:cs="Times New Roman"/>
          <w:b w:val="0"/>
          <w:color w:val="000000"/>
          <w:spacing w:val="-4"/>
          <w:sz w:val="32"/>
          <w:szCs w:val="32"/>
        </w:rPr>
        <w:t>结合年度重点任务和中长期规划，科学制定实施方案，</w:t>
      </w:r>
      <w:r>
        <w:rPr>
          <w:rStyle w:val="9"/>
          <w:rFonts w:ascii="Times New Roman" w:hAnsi="Times New Roman" w:eastAsia="仿宋_GB2312" w:cs="Times New Roman"/>
          <w:b w:val="0"/>
          <w:color w:val="000000"/>
          <w:spacing w:val="-4"/>
          <w:sz w:val="32"/>
          <w:szCs w:val="32"/>
        </w:rPr>
        <w:t>严格执行项目入库管理</w:t>
      </w:r>
      <w:r>
        <w:rPr>
          <w:rStyle w:val="9"/>
          <w:rFonts w:hint="eastAsia" w:ascii="Times New Roman" w:hAnsi="Times New Roman" w:eastAsia="仿宋_GB2312" w:cs="Times New Roman"/>
          <w:b w:val="0"/>
          <w:color w:val="000000"/>
          <w:spacing w:val="-4"/>
          <w:sz w:val="32"/>
          <w:szCs w:val="32"/>
        </w:rPr>
        <w:t>。依据</w:t>
      </w:r>
      <w:r>
        <w:rPr>
          <w:rStyle w:val="9"/>
          <w:rFonts w:ascii="Times New Roman" w:hAnsi="Times New Roman" w:eastAsia="仿宋_GB2312" w:cs="Times New Roman"/>
          <w:b w:val="0"/>
          <w:color w:val="000000"/>
          <w:spacing w:val="-4"/>
          <w:sz w:val="32"/>
          <w:szCs w:val="32"/>
        </w:rPr>
        <w:t>政策文件、发展规划或实际履职需要，经过充分的可行性研究、集体决策和事前绩效评估。项目实施方案内容详实，明确资金测算明细、具体实施路径、预期产出及效益目标，确保专项立项依据充分、内容具体、目标清晰，为后续执行奠定坚实基础。</w:t>
      </w:r>
    </w:p>
    <w:p>
      <w:pPr>
        <w:spacing w:line="560" w:lineRule="exact"/>
        <w:ind w:left="399" w:leftChars="190"/>
        <w:rPr>
          <w:rStyle w:val="9"/>
          <w:rFonts w:ascii="Times New Roman" w:hAnsi="Times New Roman" w:eastAsia="仿宋_GB2312" w:cs="Times New Roman"/>
          <w:b w:val="0"/>
          <w:color w:val="000000"/>
          <w:spacing w:val="-4"/>
          <w:sz w:val="32"/>
          <w:szCs w:val="32"/>
        </w:rPr>
      </w:pPr>
      <w:r>
        <w:rPr>
          <w:rStyle w:val="9"/>
          <w:rFonts w:ascii="Times New Roman" w:hAnsi="Times New Roman" w:eastAsia="仿宋_GB2312" w:cs="Times New Roman"/>
          <w:b w:val="0"/>
          <w:color w:val="000000"/>
          <w:spacing w:val="-4"/>
          <w:sz w:val="32"/>
          <w:szCs w:val="32"/>
        </w:rPr>
        <w:t>（2）健全组织架构，压实主体责任</w:t>
      </w:r>
    </w:p>
    <w:p>
      <w:pPr>
        <w:spacing w:line="560" w:lineRule="exact"/>
        <w:ind w:firstLine="624" w:firstLineChars="200"/>
        <w:rPr>
          <w:rStyle w:val="9"/>
          <w:rFonts w:ascii="Times New Roman" w:hAnsi="Times New Roman" w:eastAsia="仿宋_GB2312" w:cs="Times New Roman"/>
          <w:b w:val="0"/>
          <w:color w:val="000000"/>
          <w:spacing w:val="-4"/>
          <w:sz w:val="32"/>
          <w:szCs w:val="32"/>
        </w:rPr>
      </w:pPr>
      <w:r>
        <w:rPr>
          <w:rStyle w:val="9"/>
          <w:rFonts w:ascii="Times New Roman" w:hAnsi="Times New Roman" w:eastAsia="仿宋_GB2312" w:cs="Times New Roman"/>
          <w:b w:val="0"/>
          <w:color w:val="000000"/>
          <w:spacing w:val="-4"/>
          <w:sz w:val="32"/>
          <w:szCs w:val="32"/>
        </w:rPr>
        <w:t>针对重大或复杂的专项，分管领导牵头、业务处室负责、财务及相关人员参与，明确内部职责分工与协作机制。实行项目负责人制度，将管理责任落实到岗到人，确保从预算执行、业务推进到绩效目标实现各环节均有专人负责、全程跟踪，形成层层负责、协同联动的工作格局。</w:t>
      </w:r>
    </w:p>
    <w:p>
      <w:pPr>
        <w:spacing w:line="560" w:lineRule="exact"/>
        <w:ind w:left="399" w:leftChars="190"/>
        <w:rPr>
          <w:rStyle w:val="9"/>
          <w:rFonts w:ascii="Times New Roman" w:hAnsi="Times New Roman" w:eastAsia="仿宋_GB2312" w:cs="Times New Roman"/>
          <w:b w:val="0"/>
          <w:color w:val="000000"/>
          <w:spacing w:val="-4"/>
          <w:sz w:val="32"/>
          <w:szCs w:val="32"/>
        </w:rPr>
      </w:pPr>
      <w:r>
        <w:rPr>
          <w:rStyle w:val="9"/>
          <w:rFonts w:ascii="Times New Roman" w:hAnsi="Times New Roman" w:eastAsia="仿宋_GB2312" w:cs="Times New Roman"/>
          <w:b w:val="0"/>
          <w:color w:val="000000"/>
          <w:spacing w:val="-4"/>
          <w:sz w:val="32"/>
          <w:szCs w:val="32"/>
        </w:rPr>
        <w:t>（3）规范过程管控，保障执行效能</w:t>
      </w:r>
    </w:p>
    <w:p>
      <w:pPr>
        <w:spacing w:line="560" w:lineRule="exact"/>
        <w:ind w:firstLine="624" w:firstLineChars="200"/>
        <w:rPr>
          <w:rStyle w:val="9"/>
          <w:rFonts w:ascii="Times New Roman" w:hAnsi="Times New Roman" w:eastAsia="仿宋_GB2312" w:cs="Times New Roman"/>
          <w:b w:val="0"/>
          <w:color w:val="000000"/>
          <w:spacing w:val="-4"/>
          <w:sz w:val="32"/>
          <w:szCs w:val="32"/>
        </w:rPr>
      </w:pPr>
      <w:r>
        <w:rPr>
          <w:rStyle w:val="9"/>
          <w:rFonts w:ascii="Times New Roman" w:hAnsi="Times New Roman" w:eastAsia="仿宋_GB2312" w:cs="Times New Roman"/>
          <w:b w:val="0"/>
          <w:color w:val="000000"/>
          <w:spacing w:val="-4"/>
          <w:sz w:val="32"/>
          <w:szCs w:val="32"/>
        </w:rPr>
        <w:t>严格执行合同管理、政府采购、国库集中支付等各项财经制度。对项目实施进度、资金支出进度与绩效目标实现情况进行定期调度与台账管理，动态掌握执行情况。对实施过程中出现的客观变化或问题，及时研究并按规定程序报批调整，确保项目执行的科学性与灵活性。同时，完善专项档案管理，确保过程资料完整、可追溯。</w:t>
      </w:r>
    </w:p>
    <w:p>
      <w:pPr>
        <w:spacing w:line="560" w:lineRule="exact"/>
        <w:ind w:firstLine="624" w:firstLineChars="200"/>
        <w:rPr>
          <w:rStyle w:val="9"/>
          <w:rFonts w:ascii="Times New Roman" w:hAnsi="Times New Roman" w:eastAsia="仿宋_GB2312" w:cs="Times New Roman"/>
          <w:b w:val="0"/>
          <w:color w:val="000000"/>
          <w:spacing w:val="-4"/>
          <w:sz w:val="32"/>
          <w:szCs w:val="32"/>
        </w:rPr>
      </w:pPr>
      <w:r>
        <w:rPr>
          <w:rStyle w:val="9"/>
          <w:rFonts w:ascii="Times New Roman" w:hAnsi="Times New Roman" w:eastAsia="仿宋_GB2312" w:cs="Times New Roman"/>
          <w:b w:val="0"/>
          <w:color w:val="000000"/>
          <w:spacing w:val="-4"/>
          <w:sz w:val="32"/>
          <w:szCs w:val="32"/>
        </w:rPr>
        <w:t>（4）强化风险防控，主动公开信息</w:t>
      </w:r>
    </w:p>
    <w:p>
      <w:pPr>
        <w:widowControl/>
        <w:spacing w:line="560" w:lineRule="exact"/>
        <w:ind w:firstLine="624" w:firstLineChars="200"/>
        <w:jc w:val="left"/>
        <w:rPr>
          <w:rFonts w:ascii="Times New Roman" w:hAnsi="Times New Roman" w:eastAsia="仿宋_GB2312" w:cs="Times New Roman"/>
          <w:color w:val="FF0000"/>
          <w:kern w:val="0"/>
          <w:sz w:val="32"/>
          <w:szCs w:val="32"/>
          <w:lang w:bidi="ar"/>
        </w:rPr>
      </w:pPr>
      <w:r>
        <w:rPr>
          <w:rStyle w:val="9"/>
          <w:rFonts w:ascii="Times New Roman" w:hAnsi="Times New Roman" w:eastAsia="仿宋_GB2312" w:cs="Times New Roman"/>
          <w:b w:val="0"/>
          <w:color w:val="000000"/>
          <w:spacing w:val="-4"/>
          <w:sz w:val="32"/>
          <w:szCs w:val="32"/>
        </w:rPr>
        <w:t>针对专项实施各环节可能存在的管理、财务、廉政等风险，制定并落实相应的防控措施与应急预案。自觉接受审计、财政及纪检监察等部门的监督检查。严格按照预决算公开要求，及时向社会公开专项资金的设立依据、管理办法、绩效目标及执行结果等信息，主动接受社会监督，提升专项资金使用的透明度和公信力。</w:t>
      </w:r>
    </w:p>
    <w:p>
      <w:pPr>
        <w:numPr>
          <w:ilvl w:val="0"/>
          <w:numId w:val="1"/>
        </w:numPr>
        <w:snapToGrid w:val="0"/>
        <w:spacing w:line="540" w:lineRule="exact"/>
        <w:ind w:firstLine="640" w:firstLineChars="200"/>
        <w:rPr>
          <w:rStyle w:val="9"/>
          <w:rFonts w:ascii="黑体" w:hAnsi="黑体" w:eastAsia="黑体" w:cs="Times New Roman"/>
          <w:b w:val="0"/>
          <w:bCs w:val="0"/>
          <w:sz w:val="32"/>
          <w:szCs w:val="32"/>
        </w:rPr>
      </w:pPr>
      <w:r>
        <w:rPr>
          <w:rFonts w:ascii="黑体" w:hAnsi="黑体" w:eastAsia="黑体" w:cs="Times New Roman"/>
          <w:sz w:val="32"/>
          <w:szCs w:val="32"/>
        </w:rPr>
        <w:t>部门整体支出绩效分析</w:t>
      </w:r>
    </w:p>
    <w:p>
      <w:pPr>
        <w:pStyle w:val="13"/>
        <w:snapToGrid w:val="0"/>
        <w:spacing w:line="560" w:lineRule="exact"/>
        <w:ind w:firstLine="624"/>
        <w:rPr>
          <w:rStyle w:val="9"/>
          <w:rFonts w:ascii="Times New Roman" w:hAnsi="Times New Roman" w:eastAsia="仿宋_GB2312" w:cs="Times New Roman"/>
          <w:b w:val="0"/>
          <w:bCs w:val="0"/>
          <w:spacing w:val="-4"/>
          <w:sz w:val="32"/>
          <w:szCs w:val="32"/>
        </w:rPr>
      </w:pPr>
      <w:r>
        <w:rPr>
          <w:rStyle w:val="9"/>
          <w:rFonts w:ascii="Times New Roman" w:hAnsi="Times New Roman" w:eastAsia="仿宋_GB2312" w:cs="Times New Roman"/>
          <w:b w:val="0"/>
          <w:spacing w:val="-4"/>
          <w:sz w:val="32"/>
          <w:szCs w:val="32"/>
        </w:rPr>
        <w:t>部门单位整体支出自评表，共设置一级指标1个，二级指标1个，三级指标3个。</w:t>
      </w:r>
    </w:p>
    <w:p>
      <w:pPr>
        <w:pStyle w:val="13"/>
        <w:snapToGrid w:val="0"/>
        <w:spacing w:line="560" w:lineRule="exact"/>
        <w:ind w:firstLine="624"/>
        <w:outlineLvl w:val="1"/>
        <w:rPr>
          <w:rStyle w:val="9"/>
          <w:rFonts w:ascii="楷体" w:hAnsi="楷体" w:eastAsia="楷体" w:cs="Times New Roman"/>
          <w:b w:val="0"/>
          <w:spacing w:val="-4"/>
          <w:sz w:val="32"/>
          <w:szCs w:val="32"/>
        </w:rPr>
      </w:pPr>
      <w:r>
        <w:rPr>
          <w:rStyle w:val="9"/>
          <w:rFonts w:ascii="楷体" w:hAnsi="楷体" w:eastAsia="楷体" w:cs="Times New Roman"/>
          <w:b w:val="0"/>
          <w:spacing w:val="-4"/>
          <w:sz w:val="32"/>
          <w:szCs w:val="32"/>
        </w:rPr>
        <w:t>（一）履职效能指标完成情况分析</w:t>
      </w:r>
    </w:p>
    <w:p>
      <w:pPr>
        <w:pStyle w:val="13"/>
        <w:snapToGrid w:val="0"/>
        <w:spacing w:line="560" w:lineRule="exact"/>
        <w:ind w:firstLine="624"/>
        <w:rPr>
          <w:rStyle w:val="9"/>
          <w:rFonts w:ascii="Times New Roman" w:hAnsi="Times New Roman" w:eastAsia="仿宋_GB2312" w:cs="Times New Roman"/>
          <w:b w:val="0"/>
          <w:spacing w:val="-4"/>
          <w:sz w:val="32"/>
          <w:szCs w:val="32"/>
        </w:rPr>
      </w:pPr>
      <w:r>
        <w:rPr>
          <w:rStyle w:val="9"/>
          <w:rFonts w:ascii="Times New Roman" w:hAnsi="Times New Roman" w:eastAsia="仿宋_GB2312" w:cs="Times New Roman"/>
          <w:b w:val="0"/>
          <w:spacing w:val="-4"/>
          <w:sz w:val="32"/>
          <w:szCs w:val="32"/>
        </w:rPr>
        <w:t>1.数量指标</w:t>
      </w:r>
    </w:p>
    <w:p>
      <w:pPr>
        <w:spacing w:line="540" w:lineRule="exact"/>
        <w:ind w:firstLine="564" w:firstLineChars="181"/>
        <w:rPr>
          <w:rStyle w:val="9"/>
          <w:rFonts w:ascii="Times New Roman" w:hAnsi="Times New Roman" w:eastAsia="仿宋_GB2312" w:cs="Times New Roman"/>
          <w:b w:val="0"/>
          <w:spacing w:val="-4"/>
          <w:sz w:val="32"/>
          <w:szCs w:val="32"/>
        </w:rPr>
      </w:pPr>
      <w:r>
        <w:rPr>
          <w:rStyle w:val="9"/>
          <w:rFonts w:ascii="Times New Roman" w:hAnsi="Times New Roman" w:eastAsia="仿宋_GB2312" w:cs="Times New Roman"/>
          <w:b w:val="0"/>
          <w:spacing w:val="-4"/>
          <w:sz w:val="32"/>
          <w:szCs w:val="32"/>
        </w:rPr>
        <w:t>（1）固定资产投资增长指标，预期指标值是大于等于10%，实际完成值是</w:t>
      </w:r>
      <w:r>
        <w:rPr>
          <w:rFonts w:ascii="Times New Roman" w:hAnsi="Times New Roman" w:eastAsia="仿宋_GB2312" w:cs="Times New Roman"/>
          <w:bCs/>
          <w:sz w:val="32"/>
          <w:szCs w:val="32"/>
          <w:lang w:bidi="ar"/>
        </w:rPr>
        <w:t>7.2%</w:t>
      </w:r>
      <w:r>
        <w:rPr>
          <w:rStyle w:val="9"/>
          <w:rFonts w:ascii="Times New Roman" w:hAnsi="Times New Roman" w:eastAsia="仿宋_GB2312" w:cs="Times New Roman"/>
          <w:b w:val="0"/>
          <w:spacing w:val="-4"/>
          <w:sz w:val="32"/>
          <w:szCs w:val="32"/>
        </w:rPr>
        <w:t>，指标完成率是</w:t>
      </w:r>
      <w:r>
        <w:rPr>
          <w:rFonts w:ascii="Times New Roman" w:hAnsi="Times New Roman" w:eastAsia="仿宋_GB2312" w:cs="Times New Roman"/>
          <w:bCs/>
          <w:sz w:val="32"/>
          <w:szCs w:val="32"/>
          <w:lang w:bidi="ar"/>
        </w:rPr>
        <w:t>72%</w:t>
      </w:r>
      <w:r>
        <w:rPr>
          <w:rStyle w:val="9"/>
          <w:rFonts w:ascii="Times New Roman" w:hAnsi="Times New Roman" w:eastAsia="仿宋_GB2312" w:cs="Times New Roman"/>
          <w:b w:val="0"/>
          <w:spacing w:val="-4"/>
          <w:sz w:val="32"/>
          <w:szCs w:val="32"/>
        </w:rPr>
        <w:t>，未完成预期目标。主要原因：</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自治区预算内投资项目资金150000万元，根据自治区党委、人民政府安排部署，共分七批全部下达。其中：支持前期费项目182个，共计84310万元，覆盖14个地、州、市；支持基建投资项目47个，共计70690万元，覆盖12个地、州、市。项目的实施，充分发挥了政府投资的引导带动作用，促进了基层民生改善，加强了基础和薄弱环节建设，加快了重点领域和重大项目建设，助推我区经济社会健康发展补齐当地短板和弱项，增强可持续发展能力，推动经济健康发展效果明显；有效促进基层民生改善、社会和谐稳定，但由于外部环境波动，导致未达到预期目标</w:t>
      </w:r>
      <w:r>
        <w:rPr>
          <w:rStyle w:val="9"/>
          <w:rFonts w:ascii="Times New Roman" w:hAnsi="Times New Roman" w:eastAsia="仿宋_GB2312" w:cs="Times New Roman"/>
          <w:b w:val="0"/>
          <w:spacing w:val="-4"/>
          <w:sz w:val="32"/>
          <w:szCs w:val="32"/>
        </w:rPr>
        <w:t>值</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w:t>
      </w:r>
      <w:r>
        <w:rPr>
          <w:rStyle w:val="9"/>
          <w:rFonts w:ascii="Times New Roman" w:hAnsi="Times New Roman" w:eastAsia="仿宋_GB2312" w:cs="Times New Roman"/>
          <w:b w:val="0"/>
          <w:spacing w:val="-4"/>
          <w:sz w:val="32"/>
          <w:szCs w:val="32"/>
        </w:rPr>
        <w:t xml:space="preserve"> </w:t>
      </w:r>
    </w:p>
    <w:p>
      <w:pPr>
        <w:spacing w:line="540" w:lineRule="exact"/>
        <w:ind w:firstLine="564" w:firstLineChars="181"/>
        <w:rPr>
          <w:rStyle w:val="9"/>
          <w:rFonts w:ascii="Times New Roman" w:hAnsi="Times New Roman" w:eastAsia="仿宋_GB2312" w:cs="Times New Roman"/>
          <w:b w:val="0"/>
          <w:color w:val="000000" w:themeColor="text1"/>
          <w:spacing w:val="-4"/>
          <w:sz w:val="32"/>
          <w:szCs w:val="32"/>
          <w14:textFill>
            <w14:solidFill>
              <w14:schemeClr w14:val="tx1"/>
            </w14:solidFill>
          </w14:textFill>
        </w:rPr>
      </w:pPr>
      <w:r>
        <w:rPr>
          <w:rStyle w:val="9"/>
          <w:rFonts w:ascii="Times New Roman" w:hAnsi="Times New Roman" w:eastAsia="仿宋_GB2312" w:cs="Times New Roman"/>
          <w:b w:val="0"/>
          <w:spacing w:val="-4"/>
          <w:sz w:val="32"/>
          <w:szCs w:val="32"/>
        </w:rPr>
        <w:t>（2）完成年度节能减排项目数量，预期指标值是大于等于15个，实际完成值是24个，指标完成率153.33%，超预期完成目标。</w:t>
      </w:r>
      <w:r>
        <w:rPr>
          <w:rStyle w:val="9"/>
          <w:rFonts w:ascii="Times New Roman" w:hAnsi="Times New Roman" w:eastAsia="仿宋_GB2312" w:cs="Times New Roman"/>
          <w:b w:val="0"/>
          <w:color w:val="000000" w:themeColor="text1"/>
          <w:spacing w:val="-4"/>
          <w:sz w:val="32"/>
          <w:szCs w:val="32"/>
          <w14:textFill>
            <w14:solidFill>
              <w14:schemeClr w14:val="tx1"/>
            </w14:solidFill>
          </w14:textFill>
        </w:rPr>
        <w:t>主要原因：</w:t>
      </w:r>
      <w:r>
        <w:rPr>
          <w:rStyle w:val="9"/>
          <w:rFonts w:hint="eastAsia" w:ascii="Times New Roman" w:hAnsi="Times New Roman" w:eastAsia="仿宋_GB2312" w:cs="Times New Roman"/>
          <w:b w:val="0"/>
          <w:color w:val="000000" w:themeColor="text1"/>
          <w:spacing w:val="-4"/>
          <w:sz w:val="32"/>
          <w:szCs w:val="32"/>
          <w14:textFill>
            <w14:solidFill>
              <w14:schemeClr w14:val="tx1"/>
            </w14:solidFill>
          </w14:textFill>
        </w:rPr>
        <w:t>通过实施节能降碳示范、节能能力建设和节能宣传等项目，进一步推进建筑、交通等重点领域节能降碳改造示范，加强节能降碳政策体系研究完善，加快降碳技术推广应用，不断提高能源利用效率，提升节能管理水平，促进绿色低碳高质量发展，助力实现碳达峰、碳中和，高效完成年初制定指标。</w:t>
      </w:r>
    </w:p>
    <w:p>
      <w:pPr>
        <w:pStyle w:val="13"/>
        <w:snapToGrid w:val="0"/>
        <w:spacing w:line="560" w:lineRule="exact"/>
        <w:ind w:firstLine="624"/>
        <w:rPr>
          <w:rStyle w:val="9"/>
          <w:rFonts w:ascii="Times New Roman" w:hAnsi="Times New Roman" w:eastAsia="仿宋_GB2312" w:cs="Times New Roman"/>
          <w:b w:val="0"/>
          <w:bCs w:val="0"/>
          <w:spacing w:val="-4"/>
          <w:sz w:val="32"/>
          <w:szCs w:val="32"/>
        </w:rPr>
      </w:pPr>
      <w:r>
        <w:rPr>
          <w:rStyle w:val="9"/>
          <w:rFonts w:ascii="Times New Roman" w:hAnsi="Times New Roman" w:eastAsia="仿宋_GB2312" w:cs="Times New Roman"/>
          <w:b w:val="0"/>
          <w:spacing w:val="-4"/>
          <w:sz w:val="32"/>
          <w:szCs w:val="32"/>
        </w:rPr>
        <w:t>（3）编制能源建设运行监测分析报告指标，预期指标值是等于12份，实际完成值为12份，指标完成率100%。</w:t>
      </w:r>
    </w:p>
    <w:p>
      <w:pPr>
        <w:spacing w:line="540" w:lineRule="exact"/>
        <w:ind w:firstLine="564" w:firstLineChars="181"/>
        <w:rPr>
          <w:rStyle w:val="9"/>
          <w:rFonts w:ascii="黑体" w:hAnsi="黑体" w:eastAsia="黑体" w:cs="Times New Roman"/>
          <w:b w:val="0"/>
          <w:bCs w:val="0"/>
          <w:spacing w:val="-4"/>
          <w:sz w:val="32"/>
          <w:szCs w:val="32"/>
        </w:rPr>
      </w:pPr>
      <w:r>
        <w:rPr>
          <w:rStyle w:val="9"/>
          <w:rFonts w:hint="eastAsia" w:ascii="黑体" w:hAnsi="黑体" w:eastAsia="黑体" w:cs="Times New Roman"/>
          <w:b w:val="0"/>
          <w:bCs w:val="0"/>
          <w:spacing w:val="-4"/>
          <w:sz w:val="32"/>
          <w:szCs w:val="32"/>
        </w:rPr>
        <w:t>四、</w:t>
      </w:r>
      <w:r>
        <w:rPr>
          <w:rStyle w:val="9"/>
          <w:rFonts w:ascii="黑体" w:hAnsi="黑体" w:eastAsia="黑体" w:cs="Times New Roman"/>
          <w:b w:val="0"/>
          <w:bCs w:val="0"/>
          <w:spacing w:val="-4"/>
          <w:sz w:val="32"/>
          <w:szCs w:val="32"/>
        </w:rPr>
        <w:t>评价结论</w:t>
      </w:r>
    </w:p>
    <w:p>
      <w:pPr>
        <w:spacing w:line="580" w:lineRule="exact"/>
        <w:ind w:firstLine="624" w:firstLineChars="200"/>
        <w:rPr>
          <w:rFonts w:ascii="黑体" w:hAnsi="黑体" w:eastAsia="黑体" w:cs="黑体"/>
          <w:sz w:val="32"/>
          <w:szCs w:val="32"/>
        </w:rPr>
      </w:pPr>
      <w:r>
        <w:rPr>
          <w:rStyle w:val="9"/>
          <w:rFonts w:ascii="Times New Roman" w:hAnsi="Times New Roman" w:eastAsia="仿宋_GB2312" w:cs="Times New Roman"/>
          <w:b w:val="0"/>
          <w:spacing w:val="-4"/>
          <w:sz w:val="32"/>
          <w:szCs w:val="32"/>
        </w:rPr>
        <w:t>202</w:t>
      </w:r>
      <w:r>
        <w:rPr>
          <w:rStyle w:val="9"/>
          <w:rFonts w:hint="eastAsia" w:ascii="Times New Roman" w:hAnsi="Times New Roman" w:eastAsia="仿宋_GB2312" w:cs="Times New Roman"/>
          <w:b w:val="0"/>
          <w:spacing w:val="-4"/>
          <w:sz w:val="32"/>
          <w:szCs w:val="32"/>
        </w:rPr>
        <w:t>5</w:t>
      </w:r>
      <w:r>
        <w:rPr>
          <w:rStyle w:val="9"/>
          <w:rFonts w:ascii="Times New Roman" w:hAnsi="Times New Roman" w:eastAsia="仿宋_GB2312" w:cs="Times New Roman"/>
          <w:b w:val="0"/>
          <w:spacing w:val="-4"/>
          <w:sz w:val="32"/>
          <w:szCs w:val="32"/>
        </w:rPr>
        <w:t>年度部门整体支出绩效自评综合得分90.2分，评价结果为“优”。</w:t>
      </w:r>
      <w:r>
        <w:rPr>
          <w:rFonts w:ascii="Times New Roman" w:hAnsi="Times New Roman" w:eastAsia="仿宋_GB2312" w:cs="Times New Roman"/>
          <w:bCs/>
          <w:color w:val="000000" w:themeColor="text1"/>
          <w:spacing w:val="-4"/>
          <w:sz w:val="32"/>
          <w:szCs w:val="32"/>
          <w14:textFill>
            <w14:solidFill>
              <w14:schemeClr w14:val="tx1"/>
            </w14:solidFill>
          </w14:textFill>
        </w:rPr>
        <w:t>自治区发展改革委</w:t>
      </w:r>
      <w:r>
        <w:rPr>
          <w:rStyle w:val="9"/>
          <w:rFonts w:ascii="Times New Roman" w:hAnsi="Times New Roman" w:eastAsia="仿宋_GB2312" w:cs="Times New Roman"/>
          <w:b w:val="0"/>
          <w:spacing w:val="-4"/>
          <w:sz w:val="32"/>
          <w:szCs w:val="32"/>
        </w:rPr>
        <w:t>2025年度部门履职效果良好，主要体现在：</w:t>
      </w:r>
      <w:r>
        <w:rPr>
          <w:rFonts w:hint="eastAsia" w:ascii="黑体" w:hAnsi="黑体" w:eastAsia="黑体" w:cs="黑体"/>
          <w:sz w:val="32"/>
          <w:szCs w:val="32"/>
        </w:rPr>
        <w:t>一是</w:t>
      </w:r>
      <w:r>
        <w:rPr>
          <w:rFonts w:hint="eastAsia" w:ascii="仿宋_GB2312" w:hAnsi="Times New Roman" w:eastAsia="仿宋_GB2312" w:cs="仿宋_GB2312"/>
          <w:bCs/>
          <w:sz w:val="32"/>
          <w:szCs w:val="32"/>
        </w:rPr>
        <w:t>高质量构建“十五五”规划体系，</w:t>
      </w:r>
      <w:r>
        <w:rPr>
          <w:rFonts w:hint="eastAsia" w:ascii="仿宋_GB2312" w:hAnsi="Times New Roman" w:eastAsia="仿宋_GB2312" w:cs="Times New Roman"/>
          <w:sz w:val="32"/>
          <w:szCs w:val="32"/>
        </w:rPr>
        <w:t>聚焦国家所需、新疆所能、群众所盼，</w:t>
      </w:r>
      <w:r>
        <w:rPr>
          <w:rFonts w:hint="eastAsia" w:ascii="仿宋_GB2312" w:hAnsi="Times New Roman" w:eastAsia="仿宋_GB2312" w:cs="黑体"/>
          <w:sz w:val="32"/>
          <w:szCs w:val="32"/>
        </w:rPr>
        <w:t>配合起草“十五五”规划建议并经党委审议通过，规划《纲要》已进入衔接阶段，</w:t>
      </w:r>
      <w:r>
        <w:rPr>
          <w:rFonts w:hint="eastAsia" w:ascii="仿宋_GB2312" w:hAnsi="Times New Roman" w:eastAsia="仿宋_GB2312" w:cs="Times New Roman"/>
          <w:sz w:val="32"/>
          <w:szCs w:val="32"/>
        </w:rPr>
        <w:t>认真谋划了一批打基础、利长远的“三个重大”，为“十五五”</w:t>
      </w:r>
      <w:r>
        <w:rPr>
          <w:rFonts w:hint="eastAsia" w:ascii="Times New Roman" w:hAnsi="Times New Roman" w:eastAsia="仿宋_GB2312" w:cs="Times New Roman"/>
          <w:sz w:val="32"/>
          <w:szCs w:val="32"/>
        </w:rPr>
        <w:t>经济高质量发展提供坚实支撑。</w:t>
      </w:r>
      <w:r>
        <w:rPr>
          <w:rFonts w:hint="eastAsia" w:ascii="仿宋_GB2312" w:hAnsi="Times New Roman" w:eastAsia="仿宋_GB2312" w:cs="仿宋_GB2312"/>
          <w:bCs/>
          <w:sz w:val="32"/>
          <w:szCs w:val="32"/>
        </w:rPr>
        <w:t>推动“五大战略定位”具象化，</w:t>
      </w:r>
      <w:r>
        <w:rPr>
          <w:rFonts w:hint="eastAsia" w:ascii="仿宋_GB2312" w:hAnsi="Times New Roman" w:eastAsia="仿宋_GB2312" w:cs="Times New Roman"/>
          <w:sz w:val="32"/>
          <w:szCs w:val="32"/>
        </w:rPr>
        <w:t>新增“五大战略定位”专项规划，牵头形成战略定位课题研究成果，将战略定位深化到载体、明确到路径、落实到发展。</w:t>
      </w:r>
      <w:r>
        <w:rPr>
          <w:rFonts w:hint="eastAsia" w:ascii="仿宋_GB2312" w:hAnsi="Times New Roman" w:eastAsia="仿宋_GB2312" w:cs="仿宋_GB2312"/>
          <w:bCs/>
          <w:sz w:val="32"/>
          <w:szCs w:val="32"/>
        </w:rPr>
        <w:t>高站位谋划政策体系，</w:t>
      </w:r>
      <w:r>
        <w:rPr>
          <w:rFonts w:hint="eastAsia" w:ascii="仿宋_GB2312" w:hAnsi="Times New Roman" w:eastAsia="仿宋_GB2312" w:cs="Times New Roman"/>
          <w:sz w:val="32"/>
          <w:szCs w:val="32"/>
        </w:rPr>
        <w:t>报请印发基础设施“十张网”“人工智能+”、新能源高质量发展</w:t>
      </w:r>
      <w:r>
        <w:rPr>
          <w:rFonts w:hint="eastAsia" w:ascii="Times New Roman" w:hAnsi="Times New Roman" w:eastAsia="仿宋_GB2312" w:cs="Times New Roman"/>
          <w:sz w:val="32"/>
          <w:szCs w:val="32"/>
        </w:rPr>
        <w:t>等政策文件</w:t>
      </w:r>
      <w:r>
        <w:rPr>
          <w:rFonts w:hint="eastAsia" w:ascii="Times New Roman" w:hAnsi="Times New Roman" w:eastAsia="仿宋_GB2312" w:cs="Times New Roman"/>
          <w:sz w:val="32"/>
          <w:szCs w:val="32"/>
          <w:lang w:eastAsia="zh-CN"/>
        </w:rPr>
        <w:t>，将</w:t>
      </w:r>
      <w:r>
        <w:rPr>
          <w:rFonts w:hint="eastAsia" w:ascii="Times New Roman" w:hAnsi="Times New Roman" w:eastAsia="仿宋_GB2312" w:cs="Times New Roman"/>
          <w:sz w:val="32"/>
          <w:szCs w:val="32"/>
        </w:rPr>
        <w:t>一系列含金量高的发展思路转化为重大政策举措。建立政策取向一致性评估工作机制，强化政策靶向发力和系统集成有机统一。</w:t>
      </w:r>
      <w:r>
        <w:rPr>
          <w:rFonts w:hint="eastAsia" w:ascii="黑体" w:hAnsi="黑体" w:eastAsia="黑体" w:cs="黑体"/>
          <w:sz w:val="32"/>
          <w:szCs w:val="32"/>
        </w:rPr>
        <w:t>二是</w:t>
      </w:r>
      <w:r>
        <w:rPr>
          <w:rFonts w:hint="eastAsia" w:ascii="仿宋_GB2312" w:hAnsi="Times New Roman" w:eastAsia="仿宋_GB2312" w:cs="仿宋_GB2312"/>
          <w:bCs/>
          <w:sz w:val="32"/>
          <w:szCs w:val="32"/>
        </w:rPr>
        <w:t>固定</w:t>
      </w:r>
      <w:r>
        <w:rPr>
          <w:rFonts w:hint="eastAsia" w:ascii="Times New Roman" w:hAnsi="Times New Roman" w:eastAsia="仿宋_GB2312" w:cs="仿宋_GB2312"/>
          <w:bCs/>
          <w:sz w:val="32"/>
          <w:szCs w:val="32"/>
        </w:rPr>
        <w:t>资产投资保持较快增长，</w:t>
      </w:r>
      <w:r>
        <w:rPr>
          <w:rFonts w:hint="eastAsia" w:ascii="Times New Roman" w:hAnsi="Times New Roman" w:eastAsia="仿宋_GB2312" w:cs="Times New Roman"/>
          <w:sz w:val="32"/>
          <w:szCs w:val="32"/>
        </w:rPr>
        <w:t>牵头落实自治区投资管理和项目建设协调工作机制，高频次对接、常态化跑办，</w:t>
      </w:r>
      <w:r>
        <w:rPr>
          <w:rFonts w:hint="eastAsia" w:ascii="仿宋_GB2312" w:hAnsi="Times New Roman" w:eastAsia="仿宋_GB2312" w:cs="黑体"/>
          <w:sz w:val="32"/>
          <w:szCs w:val="32"/>
        </w:rPr>
        <w:t>争取超长期特别国债、中央预算内投资等中央资金，发行地方政府专项债券是“十四五”争取金额最高的一年。全区固定资产投资增长7.2%。</w:t>
      </w:r>
      <w:r>
        <w:rPr>
          <w:rFonts w:hint="eastAsia" w:ascii="仿宋_GB2312" w:hAnsi="Times New Roman" w:eastAsia="仿宋_GB2312" w:cs="仿宋_GB2312"/>
          <w:bCs/>
          <w:sz w:val="32"/>
          <w:szCs w:val="32"/>
        </w:rPr>
        <w:t>重大项目支撑有力，</w:t>
      </w:r>
      <w:r>
        <w:rPr>
          <w:rFonts w:hint="eastAsia" w:ascii="仿宋_GB2312" w:hAnsi="Times New Roman" w:eastAsia="仿宋_GB2312" w:cs="Times New Roman"/>
          <w:sz w:val="32"/>
          <w:szCs w:val="32"/>
        </w:rPr>
        <w:t>举办两场全区重大项目开工活动，8轮“一对一”指导服务直达重点项目一线，</w:t>
      </w:r>
      <w:r>
        <w:rPr>
          <w:rFonts w:hint="eastAsia" w:ascii="仿宋_GB2312" w:hAnsi="Times New Roman" w:eastAsia="仿宋_GB2312" w:cs="黑体"/>
          <w:sz w:val="32"/>
          <w:szCs w:val="32"/>
        </w:rPr>
        <w:t>实现乌鲁木齐天山机场、“疆电外送”第三通道、“西气东输”四线等一批标志性工程建成投运，伊宁至阿克苏铁路、独库高速等开工建设。</w:t>
      </w:r>
      <w:r>
        <w:rPr>
          <w:rFonts w:hint="eastAsia" w:ascii="仿宋_GB2312" w:hAnsi="Times New Roman" w:eastAsia="仿宋_GB2312" w:cs="仿宋_GB2312"/>
          <w:bCs/>
          <w:sz w:val="32"/>
          <w:szCs w:val="32"/>
        </w:rPr>
        <w:t>消费活力有效激发，</w:t>
      </w:r>
      <w:r>
        <w:rPr>
          <w:rFonts w:hint="eastAsia" w:ascii="仿宋_GB2312" w:hAnsi="Times New Roman" w:eastAsia="仿宋_GB2312" w:cs="Times New Roman"/>
          <w:sz w:val="32"/>
          <w:szCs w:val="32"/>
        </w:rPr>
        <w:t>深入实施提振消费专项行动</w:t>
      </w:r>
      <w:r>
        <w:rPr>
          <w:rFonts w:hint="eastAsia" w:ascii="Times New Roman" w:hAnsi="Times New Roman" w:eastAsia="仿宋_GB2312" w:cs="Times New Roman"/>
          <w:sz w:val="32"/>
          <w:szCs w:val="32"/>
        </w:rPr>
        <w:t>。慕士塔格登山、阿勒泰冰雪入选国家户外运动目的地建设名单，旅游消费场景平台越来越多。</w:t>
      </w:r>
      <w:r>
        <w:rPr>
          <w:rFonts w:hint="eastAsia" w:ascii="黑体" w:hAnsi="黑体" w:eastAsia="黑体" w:cs="黑体"/>
          <w:sz w:val="32"/>
          <w:szCs w:val="32"/>
        </w:rPr>
        <w:t>三是</w:t>
      </w:r>
      <w:r>
        <w:rPr>
          <w:rFonts w:hint="eastAsia" w:ascii="仿宋_GB2312" w:hAnsi="Times New Roman" w:eastAsia="仿宋_GB2312" w:cs="仿宋_GB2312"/>
          <w:bCs/>
          <w:sz w:val="32"/>
          <w:szCs w:val="32"/>
        </w:rPr>
        <w:t>优势产业链条不断延伸，</w:t>
      </w:r>
      <w:r>
        <w:rPr>
          <w:rFonts w:hint="eastAsia" w:ascii="仿宋_GB2312" w:hAnsi="Times New Roman" w:eastAsia="仿宋_GB2312" w:cs="Times New Roman PS Pro"/>
          <w:sz w:val="32"/>
          <w:szCs w:val="32"/>
        </w:rPr>
        <w:t>主动应对国家产业政策调整，加快打造准东、哈密煤制油气战略基地，</w:t>
      </w:r>
      <w:r>
        <w:rPr>
          <w:rFonts w:hint="eastAsia" w:ascii="仿宋_GB2312" w:hAnsi="Times New Roman" w:eastAsia="仿宋_GB2312" w:cs="黑体"/>
          <w:sz w:val="32"/>
          <w:szCs w:val="32"/>
        </w:rPr>
        <w:t>国能准东、天池准东煤制气和国能哈密煤制油项目实现全面开工</w:t>
      </w:r>
      <w:r>
        <w:rPr>
          <w:rFonts w:hint="eastAsia" w:ascii="仿宋_GB2312" w:hAnsi="Times New Roman" w:eastAsia="仿宋_GB2312" w:cs="Times New Roman PS Pro"/>
          <w:sz w:val="32"/>
          <w:szCs w:val="32"/>
        </w:rPr>
        <w:t>，塔河炼化一体化、乌石化PX+PTA等重点石化项目加快建设。</w:t>
      </w:r>
      <w:r>
        <w:rPr>
          <w:rFonts w:hint="eastAsia" w:ascii="仿宋_GB2312" w:hAnsi="Times New Roman" w:eastAsia="仿宋_GB2312" w:cs="黑体"/>
          <w:sz w:val="32"/>
          <w:szCs w:val="32"/>
        </w:rPr>
        <w:t>新增新能源装机超5000万千瓦。</w:t>
      </w:r>
      <w:r>
        <w:rPr>
          <w:rFonts w:hint="eastAsia" w:ascii="仿宋_GB2312" w:hAnsi="Times New Roman" w:eastAsia="仿宋_GB2312" w:cs="仿宋_GB2312"/>
          <w:bCs/>
          <w:sz w:val="32"/>
          <w:szCs w:val="32"/>
        </w:rPr>
        <w:t>新质生产力多元发展，</w:t>
      </w:r>
      <w:r>
        <w:rPr>
          <w:rFonts w:hint="eastAsia" w:ascii="仿宋_GB2312" w:hAnsi="Times New Roman" w:eastAsia="仿宋_GB2312" w:cs="Times New Roman PS Pro"/>
          <w:sz w:val="32"/>
          <w:szCs w:val="32"/>
        </w:rPr>
        <w:t>加快推</w:t>
      </w:r>
      <w:r>
        <w:rPr>
          <w:rFonts w:hint="eastAsia" w:ascii="Times New Roman" w:hAnsi="Times New Roman" w:eastAsia="仿宋_GB2312" w:cs="Times New Roman PS Pro"/>
          <w:sz w:val="32"/>
          <w:szCs w:val="32"/>
        </w:rPr>
        <w:t>进“疆算入渝”算电协同试点，乌鲁木齐、克拉玛依重点算力项目建成投运，全区算力规模达2.3万P，为人工智能与产业发展、消费提质、民生福祉、治理能力等深度融合创造了良好条件。库车、准东绿氢项目列入国家氢能试点。主动承担管理职能，自治区低空经济发展政策框架和制度体系加快构建。</w:t>
      </w:r>
      <w:r>
        <w:rPr>
          <w:rFonts w:hint="eastAsia" w:ascii="黑体" w:hAnsi="黑体" w:eastAsia="黑体" w:cs="黑体"/>
          <w:sz w:val="32"/>
          <w:szCs w:val="32"/>
        </w:rPr>
        <w:t>四是</w:t>
      </w:r>
      <w:r>
        <w:rPr>
          <w:rFonts w:hint="eastAsia" w:ascii="Times New Roman" w:hAnsi="Times New Roman" w:eastAsia="仿宋_GB2312" w:cs="仿宋_GB2312"/>
          <w:bCs/>
          <w:sz w:val="32"/>
          <w:szCs w:val="32"/>
        </w:rPr>
        <w:t>重大改革任务向纵深推进，</w:t>
      </w:r>
      <w:r>
        <w:rPr>
          <w:rFonts w:hint="eastAsia" w:ascii="Times New Roman" w:hAnsi="Times New Roman" w:eastAsia="仿宋_GB2312" w:cs="Times New Roman PS Pro"/>
          <w:sz w:val="32"/>
          <w:szCs w:val="32"/>
        </w:rPr>
        <w:t>发挥经济体制改革牵头单位作用，经济领域年度改革任务全面完成，出台优化营商环境、政府投资管理等条例规章，棉花、水资源、高校学费、新能源上网电价等价格领域改革实现突破。</w:t>
      </w:r>
      <w:r>
        <w:rPr>
          <w:rFonts w:hint="eastAsia" w:ascii="Times New Roman" w:hAnsi="Times New Roman" w:eastAsia="仿宋_GB2312" w:cs="仿宋_GB2312"/>
          <w:bCs/>
          <w:sz w:val="32"/>
          <w:szCs w:val="32"/>
        </w:rPr>
        <w:t>丝绸之路经济带核心区建设提速，</w:t>
      </w:r>
      <w:r>
        <w:rPr>
          <w:rFonts w:hint="eastAsia" w:ascii="Times New Roman" w:hAnsi="Times New Roman" w:eastAsia="仿宋_GB2312" w:cs="Times New Roman PS Pro"/>
          <w:sz w:val="32"/>
          <w:szCs w:val="32"/>
        </w:rPr>
        <w:t>不断提升“一港、两区、口岸经济带”平台能力，霍尔果斯经济开发区优化调整，口岸经济发展促进条例出台实施，沿边重点开发开放试验区加快推进建设，中吉乌铁路国外段实现开工。</w:t>
      </w:r>
      <w:r>
        <w:rPr>
          <w:rFonts w:hint="eastAsia" w:ascii="Times New Roman" w:hAnsi="Times New Roman" w:eastAsia="仿宋_GB2312" w:cs="仿宋_GB2312"/>
          <w:bCs/>
          <w:sz w:val="32"/>
          <w:szCs w:val="32"/>
        </w:rPr>
        <w:t>东西部产业协作机制不断深化，</w:t>
      </w:r>
      <w:r>
        <w:rPr>
          <w:rFonts w:hint="eastAsia" w:ascii="Times New Roman" w:hAnsi="Times New Roman" w:eastAsia="仿宋_GB2312" w:cs="Times New Roman PS Pro"/>
          <w:sz w:val="32"/>
          <w:szCs w:val="32"/>
        </w:rPr>
        <w:t>修订完善并用足用好《西部地区鼓励类产业目录》。</w:t>
      </w:r>
      <w:r>
        <w:rPr>
          <w:rFonts w:hint="eastAsia" w:ascii="黑体" w:hAnsi="黑体" w:eastAsia="黑体" w:cs="黑体"/>
          <w:sz w:val="32"/>
          <w:szCs w:val="32"/>
        </w:rPr>
        <w:t>五是</w:t>
      </w:r>
      <w:r>
        <w:rPr>
          <w:rFonts w:hint="eastAsia" w:ascii="仿宋_GB2312" w:hAnsi="Times New Roman" w:eastAsia="仿宋_GB2312" w:cs="Times New Roman PS Pro"/>
          <w:bCs/>
          <w:sz w:val="32"/>
          <w:szCs w:val="32"/>
        </w:rPr>
        <w:t>加快打造全国能源资源战略保障基地，</w:t>
      </w:r>
      <w:r>
        <w:rPr>
          <w:rFonts w:hint="eastAsia" w:ascii="仿宋_GB2312" w:hAnsi="Times New Roman" w:eastAsia="仿宋_GB2312" w:cs="Times New Roman PS Pro"/>
          <w:sz w:val="32"/>
          <w:szCs w:val="32"/>
        </w:rPr>
        <w:t>推动新疆能源资源从“满足自身”向“服务大局”转变。</w:t>
      </w:r>
      <w:r>
        <w:rPr>
          <w:rFonts w:hint="eastAsia" w:ascii="仿宋_GB2312" w:hAnsi="Times New Roman" w:eastAsia="仿宋_GB2312" w:cs="仿宋_GB2312"/>
          <w:bCs/>
          <w:sz w:val="32"/>
          <w:szCs w:val="32"/>
        </w:rPr>
        <w:t>加快打造全国优质农牧产品重要供给基地，</w:t>
      </w:r>
      <w:r>
        <w:rPr>
          <w:rFonts w:hint="eastAsia" w:ascii="仿宋_GB2312" w:hAnsi="Times New Roman" w:eastAsia="仿宋_GB2312" w:cs="Times New Roman PS Pro"/>
          <w:sz w:val="32"/>
          <w:szCs w:val="32"/>
        </w:rPr>
        <w:t>坚决扛稳保障粮食安全政治责任，坚持“以水定地”。</w:t>
      </w:r>
      <w:r>
        <w:rPr>
          <w:rFonts w:hint="eastAsia" w:ascii="仿宋_GB2312" w:hAnsi="Times New Roman" w:eastAsia="仿宋_GB2312" w:cs="仿宋_GB2312"/>
          <w:bCs/>
          <w:sz w:val="32"/>
          <w:szCs w:val="32"/>
        </w:rPr>
        <w:t xml:space="preserve"> “能控”向“碳控”稳步转变，</w:t>
      </w:r>
      <w:r>
        <w:rPr>
          <w:rFonts w:hint="eastAsia" w:ascii="仿宋_GB2312" w:hAnsi="Times New Roman" w:eastAsia="仿宋_GB2312" w:cs="Times New Roman PS Pro"/>
          <w:sz w:val="32"/>
          <w:szCs w:val="32"/>
        </w:rPr>
        <w:t>加快构建碳排放双控制度体系，强化用能预算管理，</w:t>
      </w:r>
      <w:r>
        <w:rPr>
          <w:rFonts w:hint="eastAsia" w:ascii="仿宋_GB2312" w:hAnsi="Times New Roman" w:eastAsia="仿宋_GB2312" w:cs="黑体"/>
          <w:sz w:val="32"/>
          <w:szCs w:val="32"/>
        </w:rPr>
        <w:t>扣减原料用能和可再生能源消费后，顺利完成国家下达我区的单位生产总值能耗强度降低目标任务</w:t>
      </w:r>
      <w:r>
        <w:rPr>
          <w:rFonts w:hint="eastAsia" w:ascii="仿宋_GB2312" w:hAnsi="Times New Roman" w:eastAsia="仿宋_GB2312" w:cs="Times New Roman PS Pro"/>
          <w:sz w:val="32"/>
          <w:szCs w:val="32"/>
        </w:rPr>
        <w:t>。</w:t>
      </w:r>
      <w:r>
        <w:rPr>
          <w:rFonts w:hint="eastAsia" w:ascii="黑体" w:hAnsi="黑体" w:eastAsia="黑体" w:cs="黑体"/>
          <w:sz w:val="32"/>
          <w:szCs w:val="32"/>
        </w:rPr>
        <w:t>六是</w:t>
      </w:r>
      <w:r>
        <w:rPr>
          <w:rFonts w:hint="eastAsia" w:ascii="仿宋_GB2312" w:hAnsi="Times New Roman" w:eastAsia="仿宋_GB2312" w:cs="黑体"/>
          <w:sz w:val="32"/>
          <w:szCs w:val="32"/>
        </w:rPr>
        <w:t>持续做活南疆棋眼，</w:t>
      </w:r>
      <w:r>
        <w:rPr>
          <w:rFonts w:hint="eastAsia" w:ascii="仿宋_GB2312" w:hAnsi="Times New Roman" w:eastAsia="仿宋_GB2312" w:cs="Times New Roman"/>
          <w:sz w:val="32"/>
          <w:szCs w:val="32"/>
        </w:rPr>
        <w:t>我国最大的750千伏超高压输电环网—环塔750千伏电网合龙送电，</w:t>
      </w:r>
      <w:r>
        <w:rPr>
          <w:rFonts w:hint="eastAsia" w:ascii="仿宋_GB2312" w:hAnsi="Times New Roman" w:eastAsia="仿宋_GB2312" w:cs="Nimbus Roman No9 L"/>
          <w:sz w:val="32"/>
          <w:szCs w:val="32"/>
        </w:rPr>
        <w:t>塔里木120万吨/年乙烯、火烧云铅锌矿、大红柳滩稀有金属矿项目加快实施。</w:t>
      </w:r>
      <w:r>
        <w:rPr>
          <w:rFonts w:hint="eastAsia" w:ascii="仿宋_GB2312" w:hAnsi="Times New Roman" w:eastAsia="仿宋_GB2312" w:cs="Times New Roman"/>
          <w:sz w:val="32"/>
          <w:szCs w:val="32"/>
        </w:rPr>
        <w:t>以增进认同和提升素质为目标，有序推进喀什大学、新疆和田学院等高校建设。新设县基础设施提速建设。</w:t>
      </w:r>
      <w:r>
        <w:rPr>
          <w:rFonts w:hint="eastAsia" w:ascii="仿宋_GB2312" w:hAnsi="Times New Roman" w:eastAsia="仿宋_GB2312" w:cs="黑体"/>
          <w:sz w:val="32"/>
          <w:szCs w:val="32"/>
        </w:rPr>
        <w:t>稳就业力度不断加大，</w:t>
      </w:r>
      <w:r>
        <w:rPr>
          <w:rFonts w:hint="eastAsia" w:ascii="仿宋_GB2312" w:hAnsi="Times New Roman" w:eastAsia="仿宋_GB2312" w:cs="仿宋_GB2312"/>
          <w:sz w:val="32"/>
          <w:szCs w:val="32"/>
        </w:rPr>
        <w:t>坚持把就业作为民生之本，</w:t>
      </w:r>
      <w:r>
        <w:rPr>
          <w:rFonts w:hint="eastAsia" w:ascii="仿宋_GB2312" w:hAnsi="Times New Roman" w:eastAsia="仿宋_GB2312" w:cs="Nimbus Roman No9 L"/>
          <w:sz w:val="32"/>
          <w:szCs w:val="32"/>
        </w:rPr>
        <w:t>实现4.7万名群众</w:t>
      </w:r>
      <w:r>
        <w:rPr>
          <w:rFonts w:hint="eastAsia" w:ascii="仿宋_GB2312" w:hAnsi="Times New Roman" w:eastAsia="仿宋_GB2312" w:cs="Times New Roman"/>
          <w:sz w:val="32"/>
          <w:szCs w:val="32"/>
        </w:rPr>
        <w:t>就地就近就业</w:t>
      </w:r>
      <w:r>
        <w:rPr>
          <w:rFonts w:hint="eastAsia" w:ascii="仿宋_GB2312" w:hAnsi="Times New Roman" w:eastAsia="仿宋_GB2312" w:cs="Nimbus Roman No9 L"/>
          <w:sz w:val="32"/>
          <w:szCs w:val="32"/>
        </w:rPr>
        <w:t>。加快建设</w:t>
      </w:r>
      <w:r>
        <w:rPr>
          <w:rFonts w:hint="eastAsia" w:ascii="仿宋_GB2312" w:hAnsi="Times New Roman" w:eastAsia="仿宋_GB2312" w:cs="Times New Roman"/>
          <w:sz w:val="32"/>
          <w:szCs w:val="36"/>
        </w:rPr>
        <w:t>29个劳动密集型产业关联园区，积蓄更多就业容量。</w:t>
      </w:r>
      <w:r>
        <w:rPr>
          <w:rFonts w:hint="eastAsia" w:ascii="仿宋_GB2312" w:hAnsi="Times New Roman" w:eastAsia="仿宋_GB2312" w:cs="黑体"/>
          <w:sz w:val="32"/>
          <w:szCs w:val="32"/>
        </w:rPr>
        <w:t>用心用情办好惠民实事，</w:t>
      </w:r>
      <w:r>
        <w:rPr>
          <w:rFonts w:hint="eastAsia" w:ascii="仿宋_GB2312" w:hAnsi="Times New Roman" w:eastAsia="仿宋_GB2312" w:cs="Nimbus Roman No9 L"/>
          <w:sz w:val="32"/>
          <w:szCs w:val="32"/>
        </w:rPr>
        <w:t>不断满足各族群众日益增长的公共服务需求，支持教育、医疗、养老托育等公共服务基础设施建设</w:t>
      </w:r>
      <w:r>
        <w:rPr>
          <w:rFonts w:hint="eastAsia" w:ascii="仿宋_GB2312" w:hAnsi="Times New Roman" w:eastAsia="仿宋_GB2312" w:cs="Times New Roman"/>
          <w:sz w:val="32"/>
          <w:szCs w:val="32"/>
        </w:rPr>
        <w:t>。南北疆天然气利民管道扩建二期年度任务全面完成，天山南麓378公里“气脉”成功投产。</w:t>
      </w:r>
      <w:r>
        <w:rPr>
          <w:rFonts w:hint="eastAsia" w:ascii="仿宋_GB2312" w:hAnsi="Times New Roman" w:eastAsia="仿宋_GB2312" w:cs="黑体"/>
          <w:sz w:val="32"/>
          <w:szCs w:val="32"/>
        </w:rPr>
        <w:t>对口援疆综合效益进一步提升，</w:t>
      </w:r>
      <w:r>
        <w:rPr>
          <w:rFonts w:hint="eastAsia" w:ascii="仿宋_GB2312" w:hAnsi="Times New Roman" w:eastAsia="仿宋_GB2312" w:cs="仿宋_GB2312"/>
          <w:bCs/>
          <w:sz w:val="32"/>
          <w:szCs w:val="32"/>
          <w:lang w:bidi="ar"/>
        </w:rPr>
        <w:t>成功配合召开第十次全国对口支援新疆工作会议，以交往交流交融为重点，</w:t>
      </w:r>
      <w:r>
        <w:rPr>
          <w:rFonts w:hint="eastAsia" w:ascii="仿宋_GB2312" w:hAnsi="Times New Roman" w:eastAsia="仿宋_GB2312" w:cs="仿宋_GB2312"/>
          <w:sz w:val="32"/>
          <w:szCs w:val="32"/>
        </w:rPr>
        <w:t>研究制定贯彻落实方案</w:t>
      </w:r>
      <w:r>
        <w:rPr>
          <w:rFonts w:hint="eastAsia" w:ascii="仿宋_GB2312" w:hAnsi="Times New Roman" w:eastAsia="仿宋_GB2312" w:cs="Times New Roman"/>
          <w:sz w:val="32"/>
          <w:szCs w:val="32"/>
        </w:rPr>
        <w:t>。</w:t>
      </w:r>
    </w:p>
    <w:p>
      <w:pPr>
        <w:spacing w:line="580" w:lineRule="exact"/>
        <w:ind w:firstLine="624" w:firstLineChars="200"/>
        <w:rPr>
          <w:rStyle w:val="9"/>
          <w:rFonts w:ascii="黑体" w:hAnsi="黑体" w:eastAsia="黑体" w:cs="黑体"/>
          <w:b w:val="0"/>
          <w:bCs w:val="0"/>
          <w:sz w:val="32"/>
          <w:szCs w:val="32"/>
        </w:rPr>
      </w:pPr>
      <w:r>
        <w:rPr>
          <w:rStyle w:val="9"/>
          <w:rFonts w:hint="eastAsia" w:ascii="黑体" w:hAnsi="黑体" w:eastAsia="黑体" w:cs="Times New Roman"/>
          <w:b w:val="0"/>
          <w:bCs w:val="0"/>
          <w:spacing w:val="-4"/>
          <w:sz w:val="32"/>
          <w:szCs w:val="32"/>
        </w:rPr>
        <w:t>五、</w:t>
      </w:r>
      <w:r>
        <w:rPr>
          <w:rStyle w:val="9"/>
          <w:rFonts w:ascii="黑体" w:hAnsi="黑体" w:eastAsia="黑体" w:cs="Times New Roman"/>
          <w:b w:val="0"/>
          <w:bCs w:val="0"/>
          <w:spacing w:val="-4"/>
          <w:sz w:val="32"/>
          <w:szCs w:val="32"/>
        </w:rPr>
        <w:t>存在的主要问题及原因分析</w:t>
      </w:r>
    </w:p>
    <w:p>
      <w:pPr>
        <w:snapToGrid w:val="0"/>
        <w:spacing w:line="540" w:lineRule="exact"/>
        <w:ind w:left="640"/>
        <w:rPr>
          <w:rStyle w:val="9"/>
          <w:rFonts w:ascii="楷体" w:hAnsi="楷体" w:eastAsia="楷体" w:cs="Times New Roman"/>
          <w:b w:val="0"/>
          <w:bCs w:val="0"/>
          <w:spacing w:val="-4"/>
          <w:sz w:val="32"/>
          <w:szCs w:val="32"/>
        </w:rPr>
      </w:pPr>
      <w:r>
        <w:rPr>
          <w:rStyle w:val="9"/>
          <w:rFonts w:ascii="楷体" w:hAnsi="楷体" w:eastAsia="楷体" w:cs="Times New Roman"/>
          <w:b w:val="0"/>
          <w:bCs w:val="0"/>
          <w:spacing w:val="-4"/>
          <w:sz w:val="32"/>
          <w:szCs w:val="32"/>
        </w:rPr>
        <w:t>（一）绩效管理体系不健全，基础支撑薄弱</w:t>
      </w:r>
    </w:p>
    <w:p>
      <w:pPr>
        <w:snapToGrid w:val="0"/>
        <w:spacing w:line="540" w:lineRule="exact"/>
        <w:ind w:firstLine="624" w:firstLineChars="200"/>
        <w:jc w:val="left"/>
        <w:rPr>
          <w:rStyle w:val="9"/>
          <w:rFonts w:ascii="Times New Roman" w:hAnsi="Times New Roman" w:eastAsia="仿宋_GB2312" w:cs="Times New Roman"/>
          <w:b w:val="0"/>
          <w:bCs w:val="0"/>
          <w:spacing w:val="-4"/>
          <w:sz w:val="32"/>
          <w:szCs w:val="32"/>
        </w:rPr>
      </w:pPr>
      <w:r>
        <w:rPr>
          <w:rStyle w:val="9"/>
          <w:rFonts w:ascii="Times New Roman" w:hAnsi="Times New Roman" w:eastAsia="仿宋_GB2312" w:cs="Times New Roman"/>
          <w:b w:val="0"/>
          <w:bCs w:val="0"/>
          <w:spacing w:val="-4"/>
          <w:sz w:val="32"/>
          <w:szCs w:val="32"/>
        </w:rPr>
        <w:t>缺乏统一、规范的内部绩效管理制度流程；信息化水平偏低，数据采集、汇总、分析效率低；专业绩效管理人员匮乏，业务能力参差不齐。</w:t>
      </w:r>
    </w:p>
    <w:p>
      <w:pPr>
        <w:snapToGrid w:val="0"/>
        <w:spacing w:line="540" w:lineRule="exact"/>
        <w:ind w:left="640"/>
        <w:rPr>
          <w:rStyle w:val="9"/>
          <w:rFonts w:ascii="楷体" w:hAnsi="楷体" w:eastAsia="楷体" w:cs="Times New Roman"/>
          <w:b w:val="0"/>
          <w:bCs w:val="0"/>
          <w:spacing w:val="-4"/>
          <w:sz w:val="32"/>
          <w:szCs w:val="32"/>
        </w:rPr>
      </w:pPr>
      <w:r>
        <w:rPr>
          <w:rStyle w:val="9"/>
          <w:rFonts w:ascii="楷体" w:hAnsi="楷体" w:eastAsia="楷体" w:cs="Times New Roman"/>
          <w:b w:val="0"/>
          <w:bCs w:val="0"/>
          <w:spacing w:val="-4"/>
          <w:sz w:val="32"/>
          <w:szCs w:val="32"/>
        </w:rPr>
        <w:t>（二）绩效管理协同联动不足，整体合力不强</w:t>
      </w:r>
    </w:p>
    <w:p>
      <w:pPr>
        <w:snapToGrid w:val="0"/>
        <w:spacing w:line="540" w:lineRule="exact"/>
        <w:ind w:firstLine="624" w:firstLineChars="200"/>
        <w:jc w:val="left"/>
        <w:rPr>
          <w:rStyle w:val="9"/>
          <w:rFonts w:ascii="Times New Roman" w:hAnsi="Times New Roman" w:eastAsia="仿宋_GB2312" w:cs="Times New Roman"/>
          <w:b w:val="0"/>
          <w:bCs w:val="0"/>
          <w:spacing w:val="-4"/>
          <w:sz w:val="32"/>
          <w:szCs w:val="32"/>
        </w:rPr>
      </w:pPr>
      <w:r>
        <w:rPr>
          <w:rStyle w:val="9"/>
          <w:rFonts w:ascii="Times New Roman" w:hAnsi="Times New Roman" w:eastAsia="仿宋_GB2312" w:cs="Times New Roman"/>
          <w:b w:val="0"/>
          <w:bCs w:val="0"/>
          <w:spacing w:val="-4"/>
          <w:sz w:val="32"/>
          <w:szCs w:val="32"/>
        </w:rPr>
        <w:t>绩效管理涉及财务、业务等多部门，但实际工作中各环节割裂，缺乏有效协同。上下级单位之间绩效传导不畅，横向部门间信息共享不足，难以形成绩效管理整体合力。</w:t>
      </w:r>
    </w:p>
    <w:p>
      <w:pPr>
        <w:snapToGrid w:val="0"/>
        <w:spacing w:line="540" w:lineRule="exact"/>
        <w:ind w:left="640"/>
        <w:rPr>
          <w:rStyle w:val="9"/>
          <w:rFonts w:ascii="黑体" w:hAnsi="黑体" w:eastAsia="黑体" w:cs="Times New Roman"/>
          <w:b w:val="0"/>
          <w:bCs w:val="0"/>
          <w:spacing w:val="-4"/>
          <w:sz w:val="32"/>
          <w:szCs w:val="32"/>
        </w:rPr>
      </w:pPr>
      <w:r>
        <w:rPr>
          <w:rStyle w:val="9"/>
          <w:rFonts w:hint="eastAsia" w:ascii="黑体" w:hAnsi="黑体" w:eastAsia="黑体" w:cs="Times New Roman"/>
          <w:b w:val="0"/>
          <w:bCs w:val="0"/>
          <w:spacing w:val="-4"/>
          <w:sz w:val="32"/>
          <w:szCs w:val="32"/>
        </w:rPr>
        <w:t>六、</w:t>
      </w:r>
      <w:r>
        <w:rPr>
          <w:rStyle w:val="9"/>
          <w:rFonts w:ascii="黑体" w:hAnsi="黑体" w:eastAsia="黑体" w:cs="Times New Roman"/>
          <w:b w:val="0"/>
          <w:bCs w:val="0"/>
          <w:spacing w:val="-4"/>
          <w:sz w:val="32"/>
          <w:szCs w:val="32"/>
        </w:rPr>
        <w:t>改进措施和建议</w:t>
      </w:r>
    </w:p>
    <w:p>
      <w:pPr>
        <w:snapToGrid w:val="0"/>
        <w:spacing w:line="540" w:lineRule="exact"/>
        <w:ind w:firstLine="624" w:firstLineChars="200"/>
        <w:rPr>
          <w:rStyle w:val="9"/>
          <w:rFonts w:ascii="黑体" w:hAnsi="黑体" w:eastAsia="黑体" w:cs="Times New Roman"/>
          <w:b w:val="0"/>
          <w:bCs w:val="0"/>
          <w:spacing w:val="-4"/>
          <w:sz w:val="32"/>
          <w:szCs w:val="32"/>
        </w:rPr>
      </w:pPr>
      <w:r>
        <w:rPr>
          <w:rStyle w:val="9"/>
          <w:rFonts w:ascii="楷体" w:hAnsi="楷体" w:eastAsia="楷体" w:cs="Times New Roman"/>
          <w:b w:val="0"/>
          <w:bCs w:val="0"/>
          <w:spacing w:val="-4"/>
          <w:sz w:val="32"/>
          <w:szCs w:val="32"/>
        </w:rPr>
        <w:t>（一）完善绩效管理制度体系，夯实绩效管理基础</w:t>
      </w:r>
    </w:p>
    <w:p>
      <w:pPr>
        <w:snapToGrid w:val="0"/>
        <w:spacing w:line="540" w:lineRule="exact"/>
        <w:ind w:firstLine="624" w:firstLineChars="200"/>
        <w:jc w:val="left"/>
        <w:rPr>
          <w:rStyle w:val="9"/>
          <w:rFonts w:ascii="Times New Roman" w:hAnsi="Times New Roman" w:eastAsia="仿宋_GB2312" w:cs="Times New Roman"/>
          <w:b w:val="0"/>
          <w:bCs w:val="0"/>
          <w:spacing w:val="-4"/>
          <w:sz w:val="32"/>
          <w:szCs w:val="32"/>
        </w:rPr>
      </w:pPr>
      <w:r>
        <w:rPr>
          <w:rStyle w:val="9"/>
          <w:rFonts w:ascii="Times New Roman" w:hAnsi="Times New Roman" w:eastAsia="仿宋_GB2312" w:cs="Times New Roman"/>
          <w:b w:val="0"/>
          <w:bCs w:val="0"/>
          <w:spacing w:val="-4"/>
          <w:sz w:val="32"/>
          <w:szCs w:val="32"/>
        </w:rPr>
        <w:t>制定单位内部绩效管理办法，明确职责分工、工作流程，实现制度化、规范化运行；加快信息化建设，依托预算管理一体化系统。实现绩效目标、监控、评价、结果运用全流程线上管理；明确专职或兼职绩效管理人员，加强专业培训，提高业务能力。</w:t>
      </w:r>
    </w:p>
    <w:p>
      <w:pPr>
        <w:snapToGrid w:val="0"/>
        <w:spacing w:line="540" w:lineRule="exact"/>
        <w:ind w:firstLine="624" w:firstLineChars="200"/>
        <w:jc w:val="left"/>
        <w:rPr>
          <w:rStyle w:val="9"/>
          <w:rFonts w:ascii="Times New Roman" w:hAnsi="Times New Roman" w:eastAsia="仿宋_GB2312" w:cs="Times New Roman"/>
          <w:b w:val="0"/>
          <w:bCs w:val="0"/>
          <w:spacing w:val="-4"/>
          <w:sz w:val="32"/>
          <w:szCs w:val="32"/>
        </w:rPr>
      </w:pPr>
      <w:r>
        <w:rPr>
          <w:rStyle w:val="9"/>
          <w:rFonts w:ascii="楷体" w:hAnsi="楷体" w:eastAsia="楷体" w:cs="Times New Roman"/>
          <w:b w:val="0"/>
          <w:bCs w:val="0"/>
          <w:spacing w:val="-4"/>
          <w:sz w:val="32"/>
          <w:szCs w:val="32"/>
        </w:rPr>
        <w:t>（二）加强协同联动，建立跨部门会商与信息共享平台</w:t>
      </w:r>
    </w:p>
    <w:p>
      <w:pPr>
        <w:snapToGrid w:val="0"/>
        <w:spacing w:line="540" w:lineRule="exact"/>
        <w:ind w:firstLine="624" w:firstLineChars="200"/>
        <w:rPr>
          <w:rStyle w:val="9"/>
          <w:rFonts w:ascii="Times New Roman" w:hAnsi="Times New Roman" w:eastAsia="仿宋_GB2312" w:cs="Times New Roman"/>
          <w:b w:val="0"/>
          <w:bCs w:val="0"/>
          <w:spacing w:val="-4"/>
          <w:sz w:val="32"/>
          <w:szCs w:val="32"/>
        </w:rPr>
      </w:pPr>
      <w:r>
        <w:rPr>
          <w:rStyle w:val="9"/>
          <w:rFonts w:ascii="Times New Roman" w:hAnsi="Times New Roman" w:eastAsia="仿宋_GB2312" w:cs="Times New Roman"/>
          <w:b w:val="0"/>
          <w:bCs w:val="0"/>
          <w:spacing w:val="-4"/>
          <w:sz w:val="32"/>
          <w:szCs w:val="32"/>
        </w:rPr>
        <w:t>强化跨部门统筹协调机制，健全会商研判、信息共享与进度通报制度，明确各方职责与协同配合效果纳入年度绩效考核与经费安排的重要依据，从而形成权责明确、运转顺畅、协同高效的工作合力。</w:t>
      </w:r>
    </w:p>
    <w:p>
      <w:pPr>
        <w:pStyle w:val="13"/>
        <w:numPr>
          <w:numId w:val="0"/>
        </w:numPr>
        <w:snapToGrid w:val="0"/>
        <w:spacing w:line="540" w:lineRule="exact"/>
        <w:ind w:left="640" w:leftChars="0"/>
        <w:rPr>
          <w:rStyle w:val="9"/>
          <w:rFonts w:ascii="黑体" w:hAnsi="黑体" w:eastAsia="黑体" w:cs="Times New Roman"/>
          <w:b w:val="0"/>
          <w:spacing w:val="-4"/>
          <w:sz w:val="32"/>
          <w:szCs w:val="32"/>
        </w:rPr>
      </w:pPr>
      <w:r>
        <w:rPr>
          <w:rStyle w:val="9"/>
          <w:rFonts w:hint="eastAsia" w:ascii="黑体" w:hAnsi="黑体" w:eastAsia="黑体" w:cs="Times New Roman"/>
          <w:b w:val="0"/>
          <w:bCs w:val="0"/>
          <w:spacing w:val="-4"/>
          <w:sz w:val="32"/>
          <w:szCs w:val="32"/>
          <w:lang w:eastAsia="zh-CN"/>
        </w:rPr>
        <w:t>七、</w:t>
      </w:r>
      <w:r>
        <w:rPr>
          <w:rStyle w:val="9"/>
          <w:rFonts w:ascii="黑体" w:hAnsi="黑体" w:eastAsia="黑体" w:cs="Times New Roman"/>
          <w:b w:val="0"/>
          <w:bCs w:val="0"/>
          <w:spacing w:val="-4"/>
          <w:sz w:val="32"/>
          <w:szCs w:val="32"/>
        </w:rPr>
        <w:t>附表：</w:t>
      </w:r>
      <w:r>
        <w:rPr>
          <w:rStyle w:val="9"/>
          <w:rFonts w:ascii="黑体" w:hAnsi="黑体" w:eastAsia="黑体" w:cs="Times New Roman"/>
          <w:b w:val="0"/>
          <w:spacing w:val="-4"/>
          <w:sz w:val="32"/>
          <w:szCs w:val="32"/>
        </w:rPr>
        <w:t>《</w:t>
      </w:r>
      <w:r>
        <w:rPr>
          <w:rStyle w:val="9"/>
          <w:rFonts w:ascii="黑体" w:hAnsi="黑体" w:eastAsia="黑体" w:cs="Times New Roman"/>
          <w:b w:val="0"/>
          <w:bCs w:val="0"/>
          <w:spacing w:val="-4"/>
          <w:sz w:val="32"/>
          <w:szCs w:val="32"/>
        </w:rPr>
        <w:t>部门整体支出绩效自评表</w:t>
      </w:r>
      <w:r>
        <w:rPr>
          <w:rStyle w:val="9"/>
          <w:rFonts w:ascii="黑体" w:hAnsi="黑体" w:eastAsia="黑体" w:cs="Times New Roman"/>
          <w:b w:val="0"/>
          <w:spacing w:val="-4"/>
          <w:sz w:val="32"/>
          <w:szCs w:val="32"/>
        </w:rPr>
        <w:t>》</w:t>
      </w:r>
    </w:p>
    <w:p>
      <w:pPr>
        <w:pStyle w:val="13"/>
        <w:snapToGrid w:val="0"/>
        <w:spacing w:line="540" w:lineRule="exact"/>
        <w:ind w:left="640" w:firstLine="0" w:firstLineChars="0"/>
        <w:rPr>
          <w:rStyle w:val="9"/>
          <w:rFonts w:ascii="Times New Roman" w:hAnsi="Times New Roman" w:eastAsia="仿宋_GB2312" w:cs="Times New Roman"/>
          <w:b w:val="0"/>
          <w:spacing w:val="-4"/>
          <w:sz w:val="32"/>
          <w:szCs w:val="32"/>
        </w:rPr>
      </w:pPr>
    </w:p>
    <w:p>
      <w:pPr>
        <w:spacing w:line="540" w:lineRule="exact"/>
        <w:rPr>
          <w:rFonts w:ascii="Times New Roman" w:hAnsi="Times New Roman" w:eastAsia="仿宋_GB2312" w:cs="Times New Roman"/>
          <w:bCs/>
          <w:spacing w:val="-4"/>
          <w:sz w:val="32"/>
          <w:szCs w:val="32"/>
        </w:rPr>
      </w:pPr>
    </w:p>
    <w:p>
      <w:pPr>
        <w:snapToGrid w:val="0"/>
        <w:spacing w:line="480" w:lineRule="auto"/>
        <w:rPr>
          <w:rFonts w:ascii="Times New Roman" w:hAnsi="Times New Roman" w:eastAsia="仿宋_GB2312" w:cs="Times New Roman"/>
          <w:color w:val="333333"/>
          <w:sz w:val="32"/>
          <w:szCs w:val="32"/>
          <w:lang w:bidi="ar"/>
        </w:rPr>
      </w:pPr>
    </w:p>
    <w:p>
      <w:pPr>
        <w:rPr>
          <w:rFonts w:ascii="Times New Roman" w:hAnsi="Times New Roman" w:eastAsia="仿宋_GB2312" w:cs="Times New Roman"/>
          <w:sz w:val="32"/>
          <w:szCs w:val="32"/>
        </w:rPr>
      </w:pPr>
      <w:bookmarkStart w:id="31" w:name="_GoBack"/>
      <w:bookmarkEnd w:id="31"/>
    </w:p>
    <w:sectPr>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Times New Roman PS Pro">
    <w:panose1 w:val="02020603050405020304"/>
    <w:charset w:val="00"/>
    <w:family w:val="roman"/>
    <w:pitch w:val="default"/>
    <w:sig w:usb0="A00000AF" w:usb1="4000205B" w:usb2="00000000" w:usb3="00000000" w:csb0="20000093" w:csb1="00000000"/>
  </w:font>
  <w:font w:name="Nimbus Roman No9 L">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233733"/>
    <w:multiLevelType w:val="singleLevel"/>
    <w:tmpl w:val="F623373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2NWM0N2Y3NjJlOTU3N2I4MjMxOTQ1MTVkMDkxZmIifQ=="/>
    <w:docVar w:name="KSO_WPS_MARK_KEY" w:val="40e95650-004b-4697-ae2b-25bffeeac740"/>
  </w:docVars>
  <w:rsids>
    <w:rsidRoot w:val="00633862"/>
    <w:rsid w:val="00026734"/>
    <w:rsid w:val="000A0522"/>
    <w:rsid w:val="000B525C"/>
    <w:rsid w:val="000C13D6"/>
    <w:rsid w:val="000D3AFA"/>
    <w:rsid w:val="000F2132"/>
    <w:rsid w:val="0010632F"/>
    <w:rsid w:val="00137852"/>
    <w:rsid w:val="00151B69"/>
    <w:rsid w:val="001911DC"/>
    <w:rsid w:val="00191BA3"/>
    <w:rsid w:val="001A3686"/>
    <w:rsid w:val="001C589D"/>
    <w:rsid w:val="001E4D00"/>
    <w:rsid w:val="001E52BD"/>
    <w:rsid w:val="0022744B"/>
    <w:rsid w:val="002445C2"/>
    <w:rsid w:val="00293B70"/>
    <w:rsid w:val="002A3ABC"/>
    <w:rsid w:val="002B7474"/>
    <w:rsid w:val="002E1445"/>
    <w:rsid w:val="003062E0"/>
    <w:rsid w:val="003E1820"/>
    <w:rsid w:val="003E3FBA"/>
    <w:rsid w:val="00405EE5"/>
    <w:rsid w:val="004304A9"/>
    <w:rsid w:val="00441BB7"/>
    <w:rsid w:val="00446183"/>
    <w:rsid w:val="00455806"/>
    <w:rsid w:val="004A3118"/>
    <w:rsid w:val="004A572E"/>
    <w:rsid w:val="004A6AB7"/>
    <w:rsid w:val="004A7E39"/>
    <w:rsid w:val="004B5046"/>
    <w:rsid w:val="004E67BF"/>
    <w:rsid w:val="005037F4"/>
    <w:rsid w:val="00556E10"/>
    <w:rsid w:val="00587975"/>
    <w:rsid w:val="005B1250"/>
    <w:rsid w:val="005B593D"/>
    <w:rsid w:val="005C0DE5"/>
    <w:rsid w:val="005D5591"/>
    <w:rsid w:val="00612A5E"/>
    <w:rsid w:val="006208B5"/>
    <w:rsid w:val="00633862"/>
    <w:rsid w:val="00655434"/>
    <w:rsid w:val="00687828"/>
    <w:rsid w:val="006A4BC5"/>
    <w:rsid w:val="006B0AFA"/>
    <w:rsid w:val="006C5BED"/>
    <w:rsid w:val="006F379E"/>
    <w:rsid w:val="00701DC4"/>
    <w:rsid w:val="00702D4A"/>
    <w:rsid w:val="00704589"/>
    <w:rsid w:val="007115C8"/>
    <w:rsid w:val="00715BC4"/>
    <w:rsid w:val="00756C37"/>
    <w:rsid w:val="00771496"/>
    <w:rsid w:val="00780AB9"/>
    <w:rsid w:val="00792AC0"/>
    <w:rsid w:val="007B52B6"/>
    <w:rsid w:val="007F736D"/>
    <w:rsid w:val="008005CF"/>
    <w:rsid w:val="00836AEC"/>
    <w:rsid w:val="008634A4"/>
    <w:rsid w:val="00867FFD"/>
    <w:rsid w:val="0088265D"/>
    <w:rsid w:val="00883E74"/>
    <w:rsid w:val="008A0668"/>
    <w:rsid w:val="008B1547"/>
    <w:rsid w:val="00920B5A"/>
    <w:rsid w:val="0092708C"/>
    <w:rsid w:val="00937D1F"/>
    <w:rsid w:val="0097614B"/>
    <w:rsid w:val="009C0A5D"/>
    <w:rsid w:val="00A05BEF"/>
    <w:rsid w:val="00A17DC4"/>
    <w:rsid w:val="00A25AA9"/>
    <w:rsid w:val="00A31C77"/>
    <w:rsid w:val="00A7565C"/>
    <w:rsid w:val="00AA0B09"/>
    <w:rsid w:val="00AA5126"/>
    <w:rsid w:val="00AD16CD"/>
    <w:rsid w:val="00AF20A6"/>
    <w:rsid w:val="00AF497D"/>
    <w:rsid w:val="00AF7A35"/>
    <w:rsid w:val="00B21846"/>
    <w:rsid w:val="00B2556B"/>
    <w:rsid w:val="00B51314"/>
    <w:rsid w:val="00B71B98"/>
    <w:rsid w:val="00B73710"/>
    <w:rsid w:val="00BD425F"/>
    <w:rsid w:val="00C72370"/>
    <w:rsid w:val="00CA68E9"/>
    <w:rsid w:val="00CB1D3C"/>
    <w:rsid w:val="00CB5BA3"/>
    <w:rsid w:val="00CC21B2"/>
    <w:rsid w:val="00CD2F35"/>
    <w:rsid w:val="00CF0414"/>
    <w:rsid w:val="00CF536E"/>
    <w:rsid w:val="00D16294"/>
    <w:rsid w:val="00D2024C"/>
    <w:rsid w:val="00D25776"/>
    <w:rsid w:val="00D26554"/>
    <w:rsid w:val="00D5078F"/>
    <w:rsid w:val="00D61CCD"/>
    <w:rsid w:val="00D85106"/>
    <w:rsid w:val="00DB1085"/>
    <w:rsid w:val="00DE2C91"/>
    <w:rsid w:val="00DF729A"/>
    <w:rsid w:val="00E5594A"/>
    <w:rsid w:val="00E761CD"/>
    <w:rsid w:val="00EA14FA"/>
    <w:rsid w:val="00EA27DE"/>
    <w:rsid w:val="00EE1293"/>
    <w:rsid w:val="00F21AB7"/>
    <w:rsid w:val="00F47052"/>
    <w:rsid w:val="00F656C8"/>
    <w:rsid w:val="00F706CC"/>
    <w:rsid w:val="00F84215"/>
    <w:rsid w:val="00F94D00"/>
    <w:rsid w:val="00FA7CE0"/>
    <w:rsid w:val="00FD0D80"/>
    <w:rsid w:val="010E0C0C"/>
    <w:rsid w:val="016D0077"/>
    <w:rsid w:val="02355837"/>
    <w:rsid w:val="02610413"/>
    <w:rsid w:val="02F163A2"/>
    <w:rsid w:val="02FE786C"/>
    <w:rsid w:val="03341650"/>
    <w:rsid w:val="036F2FCB"/>
    <w:rsid w:val="03B2599D"/>
    <w:rsid w:val="043C5F8E"/>
    <w:rsid w:val="049941F3"/>
    <w:rsid w:val="04A60F90"/>
    <w:rsid w:val="04D2103C"/>
    <w:rsid w:val="04D550AF"/>
    <w:rsid w:val="06B83B39"/>
    <w:rsid w:val="06DE29E2"/>
    <w:rsid w:val="07702E6D"/>
    <w:rsid w:val="07A86AAB"/>
    <w:rsid w:val="07C65825"/>
    <w:rsid w:val="09067414"/>
    <w:rsid w:val="09170A81"/>
    <w:rsid w:val="097B37C9"/>
    <w:rsid w:val="0AC27E84"/>
    <w:rsid w:val="0B0F5B25"/>
    <w:rsid w:val="0BD256C9"/>
    <w:rsid w:val="0D3F0613"/>
    <w:rsid w:val="0D617282"/>
    <w:rsid w:val="0F661726"/>
    <w:rsid w:val="0F772EC6"/>
    <w:rsid w:val="0F877334"/>
    <w:rsid w:val="10182B28"/>
    <w:rsid w:val="109160DD"/>
    <w:rsid w:val="10947BCD"/>
    <w:rsid w:val="114B3E5E"/>
    <w:rsid w:val="115E3FEE"/>
    <w:rsid w:val="116B384E"/>
    <w:rsid w:val="11DD16C8"/>
    <w:rsid w:val="130A20A3"/>
    <w:rsid w:val="13352CE1"/>
    <w:rsid w:val="13E07D60"/>
    <w:rsid w:val="150177FB"/>
    <w:rsid w:val="15875F52"/>
    <w:rsid w:val="15B73666"/>
    <w:rsid w:val="15C42D02"/>
    <w:rsid w:val="168A2EA6"/>
    <w:rsid w:val="17D5194F"/>
    <w:rsid w:val="180A4FDB"/>
    <w:rsid w:val="1840056E"/>
    <w:rsid w:val="192177D8"/>
    <w:rsid w:val="196A001E"/>
    <w:rsid w:val="198331C0"/>
    <w:rsid w:val="19C92FDD"/>
    <w:rsid w:val="19DB061A"/>
    <w:rsid w:val="19E576EB"/>
    <w:rsid w:val="19FF664E"/>
    <w:rsid w:val="1A091F78"/>
    <w:rsid w:val="1A6D6D72"/>
    <w:rsid w:val="1AEB4D61"/>
    <w:rsid w:val="1C230AC0"/>
    <w:rsid w:val="1C615CEF"/>
    <w:rsid w:val="1CDA72AF"/>
    <w:rsid w:val="1D632B53"/>
    <w:rsid w:val="1D7602A9"/>
    <w:rsid w:val="1DC83D3D"/>
    <w:rsid w:val="1EAE0073"/>
    <w:rsid w:val="1F195A2C"/>
    <w:rsid w:val="205102FB"/>
    <w:rsid w:val="20762FC4"/>
    <w:rsid w:val="212C60E2"/>
    <w:rsid w:val="21DE15EF"/>
    <w:rsid w:val="23021A8B"/>
    <w:rsid w:val="2320540D"/>
    <w:rsid w:val="236E0539"/>
    <w:rsid w:val="23E6478B"/>
    <w:rsid w:val="2422471A"/>
    <w:rsid w:val="24A85EE5"/>
    <w:rsid w:val="24DB72C2"/>
    <w:rsid w:val="276460F3"/>
    <w:rsid w:val="27660FAF"/>
    <w:rsid w:val="277166D1"/>
    <w:rsid w:val="277B4318"/>
    <w:rsid w:val="27B7194D"/>
    <w:rsid w:val="27E37B45"/>
    <w:rsid w:val="280600C8"/>
    <w:rsid w:val="28081174"/>
    <w:rsid w:val="28481571"/>
    <w:rsid w:val="28722F64"/>
    <w:rsid w:val="289B5D70"/>
    <w:rsid w:val="290A1EBC"/>
    <w:rsid w:val="296B40D0"/>
    <w:rsid w:val="29980ADF"/>
    <w:rsid w:val="29B460DC"/>
    <w:rsid w:val="29D532D8"/>
    <w:rsid w:val="29E74DB9"/>
    <w:rsid w:val="2A0B6FEB"/>
    <w:rsid w:val="2A2A3694"/>
    <w:rsid w:val="2A6B1740"/>
    <w:rsid w:val="2AB71864"/>
    <w:rsid w:val="2AD30362"/>
    <w:rsid w:val="2B161A0E"/>
    <w:rsid w:val="2B1D67DB"/>
    <w:rsid w:val="2B2D4A4E"/>
    <w:rsid w:val="2BFA5278"/>
    <w:rsid w:val="2C3F44FD"/>
    <w:rsid w:val="2C8903AA"/>
    <w:rsid w:val="2CE43832"/>
    <w:rsid w:val="2DAA6B58"/>
    <w:rsid w:val="2E4A4A48"/>
    <w:rsid w:val="2F8715FA"/>
    <w:rsid w:val="2FB43990"/>
    <w:rsid w:val="2FC040E2"/>
    <w:rsid w:val="30143D58"/>
    <w:rsid w:val="30240D0F"/>
    <w:rsid w:val="308158E7"/>
    <w:rsid w:val="309817B5"/>
    <w:rsid w:val="30A86679"/>
    <w:rsid w:val="31505F30"/>
    <w:rsid w:val="3177520D"/>
    <w:rsid w:val="31C7249B"/>
    <w:rsid w:val="31FB7654"/>
    <w:rsid w:val="32565D7D"/>
    <w:rsid w:val="336E47B8"/>
    <w:rsid w:val="337D2302"/>
    <w:rsid w:val="33935522"/>
    <w:rsid w:val="33DE0EF4"/>
    <w:rsid w:val="3416678C"/>
    <w:rsid w:val="34486A39"/>
    <w:rsid w:val="34C13400"/>
    <w:rsid w:val="34F32864"/>
    <w:rsid w:val="35386E11"/>
    <w:rsid w:val="35612ABD"/>
    <w:rsid w:val="375B2943"/>
    <w:rsid w:val="38086A4E"/>
    <w:rsid w:val="38C32119"/>
    <w:rsid w:val="38EE054F"/>
    <w:rsid w:val="39440A0C"/>
    <w:rsid w:val="398443D3"/>
    <w:rsid w:val="39A60AF6"/>
    <w:rsid w:val="3AA12D62"/>
    <w:rsid w:val="3B2319C9"/>
    <w:rsid w:val="3B5D5890"/>
    <w:rsid w:val="3BA6683D"/>
    <w:rsid w:val="3BC431AC"/>
    <w:rsid w:val="3C012639"/>
    <w:rsid w:val="3CAE2354"/>
    <w:rsid w:val="3DA52B6A"/>
    <w:rsid w:val="3E833FCF"/>
    <w:rsid w:val="3EE3321B"/>
    <w:rsid w:val="3EE93EED"/>
    <w:rsid w:val="3F177A97"/>
    <w:rsid w:val="3FF57BF1"/>
    <w:rsid w:val="41590DEA"/>
    <w:rsid w:val="416C231C"/>
    <w:rsid w:val="41C31810"/>
    <w:rsid w:val="41D659E7"/>
    <w:rsid w:val="428A15BF"/>
    <w:rsid w:val="42BB7663"/>
    <w:rsid w:val="432A3936"/>
    <w:rsid w:val="434765EB"/>
    <w:rsid w:val="43C43532"/>
    <w:rsid w:val="44332E1A"/>
    <w:rsid w:val="44692B43"/>
    <w:rsid w:val="44BF2CE3"/>
    <w:rsid w:val="44BF6C07"/>
    <w:rsid w:val="462C7B1B"/>
    <w:rsid w:val="46BF2EEE"/>
    <w:rsid w:val="47013FF5"/>
    <w:rsid w:val="484A2C8B"/>
    <w:rsid w:val="48500FEB"/>
    <w:rsid w:val="49284D7B"/>
    <w:rsid w:val="49543DC1"/>
    <w:rsid w:val="4A0F39E7"/>
    <w:rsid w:val="4B364032"/>
    <w:rsid w:val="4B3B68BB"/>
    <w:rsid w:val="4B443785"/>
    <w:rsid w:val="4B537C75"/>
    <w:rsid w:val="4C431ECB"/>
    <w:rsid w:val="4CC33C9F"/>
    <w:rsid w:val="4E760D0B"/>
    <w:rsid w:val="4E8F65E3"/>
    <w:rsid w:val="4EC80245"/>
    <w:rsid w:val="4ED65AC3"/>
    <w:rsid w:val="4F596A69"/>
    <w:rsid w:val="50063DD3"/>
    <w:rsid w:val="505863A4"/>
    <w:rsid w:val="50591CBD"/>
    <w:rsid w:val="50A240F7"/>
    <w:rsid w:val="51971C1E"/>
    <w:rsid w:val="51FF2E33"/>
    <w:rsid w:val="525877BC"/>
    <w:rsid w:val="5272504D"/>
    <w:rsid w:val="52CA50F4"/>
    <w:rsid w:val="543D24BF"/>
    <w:rsid w:val="548754B8"/>
    <w:rsid w:val="54CA318A"/>
    <w:rsid w:val="54EF275D"/>
    <w:rsid w:val="55517AB0"/>
    <w:rsid w:val="57192BB8"/>
    <w:rsid w:val="5734671F"/>
    <w:rsid w:val="57423EBA"/>
    <w:rsid w:val="57813298"/>
    <w:rsid w:val="57BB500C"/>
    <w:rsid w:val="58753EBA"/>
    <w:rsid w:val="58FC3B2E"/>
    <w:rsid w:val="59063548"/>
    <w:rsid w:val="5A6776CD"/>
    <w:rsid w:val="5ADD1E8F"/>
    <w:rsid w:val="5AE6303A"/>
    <w:rsid w:val="5B155A7C"/>
    <w:rsid w:val="5B442B97"/>
    <w:rsid w:val="5B977B3E"/>
    <w:rsid w:val="5C5B0B6B"/>
    <w:rsid w:val="5CB643E4"/>
    <w:rsid w:val="5D8D11F8"/>
    <w:rsid w:val="5E2D5305"/>
    <w:rsid w:val="5F1D65AC"/>
    <w:rsid w:val="5F230066"/>
    <w:rsid w:val="5F814D8D"/>
    <w:rsid w:val="5FA47678"/>
    <w:rsid w:val="5FE455B0"/>
    <w:rsid w:val="60504E56"/>
    <w:rsid w:val="60535261"/>
    <w:rsid w:val="61F031F0"/>
    <w:rsid w:val="627A5057"/>
    <w:rsid w:val="62A033DD"/>
    <w:rsid w:val="62B113CD"/>
    <w:rsid w:val="62D376AD"/>
    <w:rsid w:val="63002758"/>
    <w:rsid w:val="63886101"/>
    <w:rsid w:val="63E072F9"/>
    <w:rsid w:val="63E738F2"/>
    <w:rsid w:val="648B2856"/>
    <w:rsid w:val="64AD2180"/>
    <w:rsid w:val="64F46001"/>
    <w:rsid w:val="658E5B0E"/>
    <w:rsid w:val="65D86017"/>
    <w:rsid w:val="65E6594A"/>
    <w:rsid w:val="660E1EAC"/>
    <w:rsid w:val="661600DA"/>
    <w:rsid w:val="66DF5346"/>
    <w:rsid w:val="66E14AAB"/>
    <w:rsid w:val="6736630B"/>
    <w:rsid w:val="67EE0E11"/>
    <w:rsid w:val="68DF3109"/>
    <w:rsid w:val="693F2885"/>
    <w:rsid w:val="699F5DE9"/>
    <w:rsid w:val="6A9776F8"/>
    <w:rsid w:val="6AAF0A00"/>
    <w:rsid w:val="6AEF34F2"/>
    <w:rsid w:val="6B234F4A"/>
    <w:rsid w:val="6C5F0204"/>
    <w:rsid w:val="6C69186D"/>
    <w:rsid w:val="6C7D443F"/>
    <w:rsid w:val="6C8851EE"/>
    <w:rsid w:val="6CCF1622"/>
    <w:rsid w:val="6CE7035E"/>
    <w:rsid w:val="6DB1246A"/>
    <w:rsid w:val="6EAE5472"/>
    <w:rsid w:val="702F5608"/>
    <w:rsid w:val="708F2CC4"/>
    <w:rsid w:val="709444F0"/>
    <w:rsid w:val="71182116"/>
    <w:rsid w:val="71205936"/>
    <w:rsid w:val="71477CCB"/>
    <w:rsid w:val="7178018F"/>
    <w:rsid w:val="71BA40BB"/>
    <w:rsid w:val="71CD052F"/>
    <w:rsid w:val="73740A39"/>
    <w:rsid w:val="742B746E"/>
    <w:rsid w:val="74736F42"/>
    <w:rsid w:val="74CA7F29"/>
    <w:rsid w:val="752B1D3E"/>
    <w:rsid w:val="75913D16"/>
    <w:rsid w:val="763C0048"/>
    <w:rsid w:val="77135965"/>
    <w:rsid w:val="77262B54"/>
    <w:rsid w:val="772D4414"/>
    <w:rsid w:val="773A5C43"/>
    <w:rsid w:val="775947BB"/>
    <w:rsid w:val="77AD276B"/>
    <w:rsid w:val="77B87094"/>
    <w:rsid w:val="77C96E08"/>
    <w:rsid w:val="79500F4C"/>
    <w:rsid w:val="7986195D"/>
    <w:rsid w:val="79E005EE"/>
    <w:rsid w:val="7A044DC4"/>
    <w:rsid w:val="7A865511"/>
    <w:rsid w:val="7AA20E97"/>
    <w:rsid w:val="7AAA4D40"/>
    <w:rsid w:val="7ABC4A73"/>
    <w:rsid w:val="7AC10876"/>
    <w:rsid w:val="7B2F16E9"/>
    <w:rsid w:val="7B334ED0"/>
    <w:rsid w:val="7C4B6886"/>
    <w:rsid w:val="7C71236F"/>
    <w:rsid w:val="7C7B25BC"/>
    <w:rsid w:val="7C8D2B6B"/>
    <w:rsid w:val="7D55069E"/>
    <w:rsid w:val="7D670C49"/>
    <w:rsid w:val="7D711B45"/>
    <w:rsid w:val="7E5F5E41"/>
    <w:rsid w:val="7E78432D"/>
    <w:rsid w:val="7E8E02D3"/>
    <w:rsid w:val="7EA902C5"/>
    <w:rsid w:val="7EAA3560"/>
    <w:rsid w:val="7ECF553C"/>
    <w:rsid w:val="7EF10E29"/>
    <w:rsid w:val="7FB36445"/>
    <w:rsid w:val="7FFBB4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rPr>
      <w:rFonts w:ascii="Times New Roman" w:hAnsi="Times New Roman" w:eastAsia="宋体" w:cs="Times New Roman"/>
    </w:rPr>
  </w:style>
  <w:style w:type="paragraph" w:styleId="3">
    <w:name w:val="Body Text"/>
    <w:basedOn w:val="1"/>
    <w:next w:val="1"/>
    <w:link w:val="17"/>
    <w:qFormat/>
    <w:uiPriority w:val="0"/>
    <w:pPr>
      <w:spacing w:before="240" w:after="240" w:line="360" w:lineRule="auto"/>
      <w:jc w:val="center"/>
    </w:pPr>
    <w:rPr>
      <w:rFonts w:ascii="Calibri" w:hAnsi="Calibri" w:eastAsia="宋体" w:cs="Arial"/>
      <w:b/>
      <w:sz w:val="44"/>
    </w:rPr>
  </w:style>
  <w:style w:type="paragraph" w:styleId="4">
    <w:name w:val="Balloon Text"/>
    <w:basedOn w:val="1"/>
    <w:link w:val="14"/>
    <w:qFormat/>
    <w:uiPriority w:val="99"/>
    <w:rPr>
      <w:rFonts w:ascii="Times New Roman" w:hAnsi="Times New Roman" w:eastAsia="宋体" w:cs="Times New Roman"/>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0"/>
    <w:rPr>
      <w:b/>
      <w:bCs/>
    </w:rPr>
  </w:style>
  <w:style w:type="character" w:styleId="10">
    <w:name w:val="annotation reference"/>
    <w:basedOn w:val="8"/>
    <w:semiHidden/>
    <w:unhideWhenUsed/>
    <w:qFormat/>
    <w:uiPriority w:val="99"/>
    <w:rPr>
      <w:sz w:val="21"/>
      <w:szCs w:val="21"/>
    </w:rPr>
  </w:style>
  <w:style w:type="character" w:customStyle="1" w:styleId="11">
    <w:name w:val="页眉 Char"/>
    <w:basedOn w:val="8"/>
    <w:link w:val="6"/>
    <w:qFormat/>
    <w:uiPriority w:val="99"/>
    <w:rPr>
      <w:sz w:val="18"/>
      <w:szCs w:val="18"/>
    </w:rPr>
  </w:style>
  <w:style w:type="character" w:customStyle="1" w:styleId="12">
    <w:name w:val="页脚 Char"/>
    <w:basedOn w:val="8"/>
    <w:link w:val="5"/>
    <w:qFormat/>
    <w:uiPriority w:val="99"/>
    <w:rPr>
      <w:sz w:val="18"/>
      <w:szCs w:val="18"/>
    </w:rPr>
  </w:style>
  <w:style w:type="paragraph" w:styleId="13">
    <w:name w:val="List Paragraph"/>
    <w:basedOn w:val="1"/>
    <w:unhideWhenUsed/>
    <w:qFormat/>
    <w:uiPriority w:val="99"/>
    <w:pPr>
      <w:ind w:firstLine="420" w:firstLineChars="200"/>
    </w:pPr>
  </w:style>
  <w:style w:type="character" w:customStyle="1" w:styleId="14">
    <w:name w:val="批注框文本 Char"/>
    <w:basedOn w:val="8"/>
    <w:link w:val="4"/>
    <w:qFormat/>
    <w:uiPriority w:val="99"/>
    <w:rPr>
      <w:kern w:val="2"/>
      <w:sz w:val="18"/>
      <w:szCs w:val="18"/>
    </w:rPr>
  </w:style>
  <w:style w:type="paragraph" w:customStyle="1" w:styleId="15">
    <w:name w:val="列出段落2"/>
    <w:basedOn w:val="1"/>
    <w:qFormat/>
    <w:uiPriority w:val="0"/>
    <w:pPr>
      <w:ind w:firstLine="420" w:firstLineChars="200"/>
    </w:pPr>
    <w:rPr>
      <w:rFonts w:ascii="Times New Roman" w:hAnsi="Times New Roman" w:eastAsia="宋体" w:cs="Times New Roman"/>
      <w:szCs w:val="22"/>
    </w:rPr>
  </w:style>
  <w:style w:type="character" w:customStyle="1" w:styleId="16">
    <w:name w:val="批注文字 Char"/>
    <w:basedOn w:val="8"/>
    <w:link w:val="2"/>
    <w:qFormat/>
    <w:uiPriority w:val="0"/>
    <w:rPr>
      <w:kern w:val="2"/>
      <w:sz w:val="21"/>
      <w:szCs w:val="24"/>
    </w:rPr>
  </w:style>
  <w:style w:type="character" w:customStyle="1" w:styleId="17">
    <w:name w:val="正文文本 Char"/>
    <w:basedOn w:val="8"/>
    <w:link w:val="3"/>
    <w:qFormat/>
    <w:uiPriority w:val="0"/>
    <w:rPr>
      <w:rFonts w:ascii="Calibri" w:hAnsi="Calibri" w:cs="Arial"/>
      <w:b/>
      <w:kern w:val="2"/>
      <w:sz w:val="4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19</Pages>
  <Words>1211</Words>
  <Characters>1219</Characters>
  <Lines>70</Lines>
  <Paragraphs>19</Paragraphs>
  <TotalTime>8</TotalTime>
  <ScaleCrop>false</ScaleCrop>
  <LinksUpToDate>false</LinksUpToDate>
  <CharactersWithSpaces>1233</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2026-08-20T11:40:00Z</dcterms:created>
  <dc:creator>jc</dc:creator>
  <cp:lastModifiedBy>fgw</cp:lastModifiedBy>
  <cp:lastPrinted>2026-03-04T10:50:00Z</cp:lastPrinted>
  <dcterms:modified xsi:type="dcterms:W3CDTF">2026-08-26T20:48:15Z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AFED902FB51B4EA3B50CE56B77E7A1BA_13</vt:lpwstr>
  </property>
  <property fmtid="{D5CDD505-2E9C-101B-9397-08002B2CF9AE}" pid="4" name="KSOTemplateDocerSaveRecord">
    <vt:lpwstr>eyJoZGlkIjoiNGZlNDRhOThhNmIzOWFjODg4MzNmNzY5N2JhYmQyY2YiLCJ1c2VySWQiOiIzNzg0MjM0ODQifQ==</vt:lpwstr>
  </property>
</Properties>
</file>