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default" w:ascii="Times New Roman" w:hAnsi="Times New Roman" w:eastAsia="仿宋_GB2312" w:cs="Times New Roman"/>
          <w:kern w:val="0"/>
          <w:sz w:val="36"/>
          <w:szCs w:val="36"/>
        </w:rPr>
        <w:t xml:space="preserve"> </w:t>
      </w:r>
      <w:r>
        <w:rPr>
          <w:rStyle w:val="18"/>
          <w:rFonts w:hint="default" w:ascii="Times New Roman" w:hAnsi="Times New Roman" w:eastAsia="楷体" w:cs="Times New Roman"/>
          <w:spacing w:val="-4"/>
          <w:sz w:val="32"/>
          <w:szCs w:val="32"/>
        </w:rPr>
        <w:t>2025</w:t>
      </w:r>
      <w:r>
        <w:rPr>
          <w:rFonts w:hint="default" w:ascii="Times New Roman" w:hAnsi="Times New Roman" w:eastAsia="仿宋_GB2312" w:cs="Times New Roman"/>
          <w:kern w:val="0"/>
          <w:sz w:val="36"/>
          <w:szCs w:val="36"/>
        </w:rPr>
        <w:t xml:space="preserve"> </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自治区预算内投资</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新疆维吾尔自治区发展和改革委员会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新疆维吾尔自治区发展和改革委员会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张永亮</w:t>
      </w:r>
    </w:p>
    <w:p>
      <w:pPr>
        <w:spacing w:line="540" w:lineRule="exact"/>
        <w:ind w:left="273" w:firstLine="567"/>
        <w:rPr>
          <w:rStyle w:val="18"/>
          <w:rFonts w:hint="default" w:ascii="Times New Roman" w:hAnsi="Times New Roman" w:eastAsia="楷体" w:cs="Times New Roman"/>
          <w:spacing w:val="-4"/>
          <w:sz w:val="32"/>
          <w:szCs w:val="32"/>
        </w:rPr>
      </w:pPr>
      <w:r>
        <w:rPr>
          <w:rFonts w:hint="eastAsia" w:hAnsi="宋体" w:eastAsia="仿宋_GB2312" w:cs="宋体"/>
          <w:kern w:val="0"/>
          <w:sz w:val="36"/>
          <w:szCs w:val="36"/>
        </w:rPr>
        <w:t>填报时间：</w:t>
      </w:r>
      <w:r>
        <w:rPr>
          <w:rStyle w:val="18"/>
          <w:rFonts w:hint="default" w:ascii="Times New Roman" w:hAnsi="Times New Roman" w:eastAsia="楷体" w:cs="Times New Roman"/>
          <w:spacing w:val="-4"/>
          <w:sz w:val="32"/>
          <w:szCs w:val="32"/>
        </w:rPr>
        <w:t>2026年03月23日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cs="黑体"/>
          <w:b w:val="0"/>
          <w:bCs/>
          <w:spacing w:val="-4"/>
          <w:sz w:val="32"/>
          <w:szCs w:val="32"/>
        </w:rPr>
        <w:sectPr>
          <w:pgSz w:w="11906" w:h="16838"/>
          <w:pgMar w:top="1440" w:right="1558" w:bottom="1440" w:left="1800" w:header="851" w:footer="992" w:gutter="0"/>
          <w:cols w:space="425" w:num="1"/>
          <w:docGrid w:type="lines" w:linePitch="312" w:charSpace="0"/>
        </w:sectPr>
      </w:pPr>
    </w:p>
    <w:p>
      <w:pPr>
        <w:spacing w:line="540" w:lineRule="exact"/>
        <w:ind w:firstLine="64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一、基本情况</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（一）项目概况。包括项目背景、主要内容及实施情况、资金投入和使用情况等</w:t>
      </w:r>
      <w:r>
        <w:rPr>
          <w:rStyle w:val="18"/>
          <w:rFonts w:hint="eastAsia" w:ascii="仿宋_GB2312" w:hAnsi="仿宋_GB2312" w:eastAsia="仿宋_GB2312" w:cs="仿宋_GB2312"/>
          <w:b w:val="0"/>
          <w:bCs/>
          <w:spacing w:val="-4"/>
          <w:sz w:val="32"/>
          <w:szCs w:val="32"/>
        </w:rPr>
        <w:t>。</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1.项目背景</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rPr>
        <w:t>本项目遵循财政部《项目支出绩效评价管理办法》（财预〔2020〕10号）、自治区财政厅《自治区财政支出绩效评价管理暂行办法》（新财预〔2018〕189号）等相关政策文件与规定，按照自治区党委经济工作会议精神和政府工作报告要求，重点聚焦事关全区经济社会发展的重大项目前期、重点规划编制和重大工程建设，加大关键领域和薄弱环节有效投资，安排自治区预算内基本建设投资，支持重大基础设施开展前期工作，安排重大项目前期费、自治区规划编制及相关课题研究费。保持基础设施领域补短板力度，进一步完善基础设施和公共服务，更好发挥有效投资对优化供给结构的关键性作用，保持经济平稳健康发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2.主要内容及实施情况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主要内容：贯彻落实自治区党委、人民政府安排部署，一是支持开展前瞻性课题研究和规划编制工作，为自治区贯彻新发展理念、推进高质量发展提供决策支撑；二是支持事关自治区长远发展的水利、交通等项目加快前期工作；三是支持各地（州、市）重点项目前期费，系统谋划推进各地重大基础设施、公共服务、保障和改善民生等领域项目前期工作；四是支持我区基础设施、社会事业等关键领域和薄弱环节重点工程稳步提升，通过相关项目建成和投入使用，充分发挥政府投资的引导带动作用，促进基层民生改善，加快重点领域和重大项目建设，助推我区经济社会健康发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实施情况：2025年经我委分解下达自治区预算内投资（前期费）15.5亿元，共支持水利、交通等重大基础设施建设、改善民生等项目，以及重点项目前期工作、重要规划编制和课题研究共229个，特别是遴选支持了一批撬动社会投资能力较强的项目，充分发挥政府投资的引导带动作用，促进了基层民生改善，加强基础和薄弱环节建设，加快重点领域和重大项目建设，推动了我区经济健康发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3.资金投入和使用情况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2025年自治区预算内投资（含前期费）资金155000万元。其中：自治区预算内基本建设投资共安排70690万元；自治区预算内前期费共安排84310万元。截至2025年12月31日，实际执行155000万元，预算执行率100%。</w:t>
      </w:r>
    </w:p>
    <w:p>
      <w:pPr>
        <w:spacing w:line="540" w:lineRule="exact"/>
        <w:ind w:firstLine="564" w:firstLineChars="181"/>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（二）项目绩效目标。包括总体目标和阶段性目标。</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1.项目绩效总目标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围绕国家“十四五”支持新疆经济社会发展重大项目实施方案、自治区国民经济和社会发展第十四个五年规划和2035年远景目标纲要确定的重点领域、重点任务，按照前期费大于等于40%、投资项目小于等于60%下达比例给予支持。积极开展规划编制和课题研究，完成项目前期工作，推进重点项目建设，为推进我区经济高质量发展提供政策建议、决策参考，促进经济持续健康发展。通过相关项目建成和投入使用，保障和改善民生，进一步完善基础设施，改善当地生态环境，提升公共服务能力。</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2.阶段性目标</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项目前期准备阶段：2025年1月1日至31日，明确自治区预算内投资规模、支持范围，做好项目储备。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实施阶段：2月1日至3月31日，下达第一批自治区预算内投资；4月1日至6月30日，下达第二批自治区预算内投资，累计下达投资超50000万元；10月30日前，累计下达投资超90000万元；11月30日前，预算内执行率达到100%。</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项目验收阶段：12月1日至31日，收集预算内执行情况材料。</w:t>
      </w:r>
    </w:p>
    <w:p>
      <w:pPr>
        <w:spacing w:line="540" w:lineRule="exact"/>
        <w:ind w:firstLine="64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二、绩效评价工作开展情况</w:t>
      </w:r>
    </w:p>
    <w:p>
      <w:pPr>
        <w:spacing w:line="540" w:lineRule="exact"/>
        <w:ind w:firstLine="564" w:firstLineChars="181"/>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（一）绩效评价目的、对象和范围。</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1.绩效评价目的</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绩效评价遵循财政部《项目支出绩效评价管理办法》（财预〔2020〕10号）和自治区财政厅《自治区财政支出绩效评价管理暂行办法》（新财预〔2018〕189号）等相关政策文件与规定，旨在评价2025年自治区预算内投资和前期费项目实施前期、过程及效果，评价财政预算资金使用的效率及效益，进一步优化自治区预算内投资安排管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2.绩效评价对象</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本次绩效评价以2025年自治区预算内投资（含前期费）项目所对应的预算资金支出为对象，以项目实施所带来的产出和效果为主要内容，以促进预算单位完成特定工作任务目标所组织开展的绩效评价。</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3.绩效评价范围</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4" w:firstLineChars="181"/>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（二）绩效评价原则、评价指标体系（附表说明）、评价方法、评价标准等</w:t>
      </w:r>
      <w:r>
        <w:rPr>
          <w:rStyle w:val="18"/>
          <w:rFonts w:hint="eastAsia" w:ascii="仿宋_GB2312" w:hAnsi="仿宋_GB2312" w:eastAsia="仿宋_GB2312" w:cs="仿宋_GB2312"/>
          <w:b w:val="0"/>
          <w:bCs/>
          <w:spacing w:val="-4"/>
          <w:sz w:val="32"/>
          <w:szCs w:val="32"/>
        </w:rPr>
        <w:t>。</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1.绩效评价原则</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本次绩效评价遵循的原则包括：</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（4）公开透明。绩效评价结果应依法依规公开，并自觉接受社会监督。</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2.绩效评价指标体系</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一级指标为：决策、过程、产出、效益。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二级指标为：项目立项、绩效目标、资金投入、资金管理、组织实施、产出数量、产出质量、产出时效、产出成本、项目效益。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3.绩效评价方法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本次评价采用比较法和综合分析法，总分由各项指标得分汇总形成。</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比较法：通过分析项目的实施情况与绩效目标实现情况，评价项目实施的效果；通过分析项目资金使用情况及产生的效果，评价预算资金分配的合理性。</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综合分析法：通过整理本项目相关资料和数据，对项目的决策、管理、绩效进行的综合评价分析。</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4.绩效评价标准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自治区预算内基本建设投资和前期费评价标准采用计划标准，即按照自治区预算内投资计划下达时确定的预期绩效目标、计划、预算、定额等预计数据作为评价财政支出绩效的标准。通过将实际完成值与预定数据进行对比,发现差异并达到评价目的。</w:t>
      </w:r>
    </w:p>
    <w:p>
      <w:pPr>
        <w:spacing w:line="540" w:lineRule="exact"/>
        <w:ind w:firstLine="564" w:firstLineChars="181"/>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（三）绩效评价工作过程。</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第一阶段：前期准备。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宋强任评价组组长，绩效评价工作职责为负责全盘工作。</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张婷任评价组副组长，绩效评价工作职责为对项目实施情况进行数据调度。</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张萍萍任评价组成员，绩效评价工作职责为对项目数据进行处理、分析。</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谭怡然任评价组成员，绩效评价工作职责为负责资料审核等工作。</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第二阶段：组织实施。</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第三阶段：分析评价。</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第四阶段：撰写与提交评价报告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第五阶段：归集档案</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（一）综合评价情况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2025年自治区预算内投资项目总体组织规范，完成了工作目标，通过相关项目建成和投入使用，促进了基层民生改善，加强了基础和薄弱环节建设，加快了重点领域和重大项目建设。</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在项目决策方面，根据自治区党委、人民政府安排部署，安排自治区预算内投资（含前期费）项目，项目立项依据充分，立项程序规范。</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管理方面，2025年本项目预算安排155000万元，实际支出155000万元，预算执行率100%。项目资金使用合规，项目财务管理制度健全，财务监控到位，所有资金支付均按照国库集中支付制度严格执行，现有项目管理制度执行情况良好。</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项目产出方面：共支持229个项目。</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项目效益方面：充分发挥了政府投资的引导带动作用，促进了基层民生改善，加强了基础和薄弱环节建设，加快了重点领域和重大项目建设，推动了我区经济健康发展。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楷体_GB2312" w:hAnsi="楷体_GB2312" w:eastAsia="楷体_GB2312" w:cs="楷体_GB2312"/>
          <w:b w:val="0"/>
          <w:bCs/>
          <w:spacing w:val="-4"/>
          <w:sz w:val="32"/>
          <w:szCs w:val="32"/>
        </w:rPr>
        <w:t>（二）综合评价结论</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运用项目组制定评价指标体系及财政部《项目支出绩效评价管理办法》（财预〔2020〕10号）文件评分标准进行评价，该项目最终评分95分，绩效评级为“优”，具体得分情况为：项目决策20分、项目过程20分、项目产出35分、项目效益20分。</w:t>
      </w:r>
    </w:p>
    <w:p>
      <w:pPr>
        <w:spacing w:line="540" w:lineRule="exact"/>
        <w:ind w:firstLine="640"/>
        <w:rPr>
          <w:rStyle w:val="18"/>
          <w:rFonts w:hint="eastAsia" w:ascii="黑体" w:hAnsi="黑体" w:eastAsia="黑体" w:cs="黑体"/>
          <w:b w:val="0"/>
          <w:bCs/>
        </w:rPr>
      </w:pPr>
      <w:r>
        <w:rPr>
          <w:rStyle w:val="18"/>
          <w:rFonts w:hint="eastAsia" w:ascii="黑体" w:hAnsi="黑体" w:eastAsia="黑体" w:cs="黑体"/>
          <w:b w:val="0"/>
          <w:bCs/>
          <w:spacing w:val="-4"/>
          <w:sz w:val="32"/>
          <w:szCs w:val="32"/>
        </w:rPr>
        <w:t xml:space="preserve">四、绩效评价指标分析 </w:t>
      </w:r>
    </w:p>
    <w:p>
      <w:pPr>
        <w:spacing w:line="540" w:lineRule="exact"/>
        <w:ind w:firstLine="564" w:firstLineChars="181"/>
        <w:rPr>
          <w:rStyle w:val="18"/>
          <w:rFonts w:hint="eastAsia" w:ascii="仿宋_GB2312" w:hAnsi="仿宋_GB2312" w:eastAsia="仿宋_GB2312" w:cs="仿宋_GB2312"/>
          <w:b w:val="0"/>
          <w:bCs/>
          <w:spacing w:val="-4"/>
          <w:sz w:val="32"/>
          <w:szCs w:val="32"/>
        </w:rPr>
      </w:pPr>
      <w:r>
        <w:rPr>
          <w:rFonts w:hint="eastAsia" w:ascii="楷体_GB2312" w:hAnsi="楷体_GB2312" w:eastAsia="楷体_GB2312" w:cs="楷体_GB2312"/>
          <w:b w:val="0"/>
          <w:bCs/>
          <w:spacing w:val="-4"/>
          <w:sz w:val="32"/>
          <w:szCs w:val="32"/>
        </w:rPr>
        <w:t>（一）项目决策情况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项目决策类指标包括项目立项、绩效目标和资金投入三方面的内容，由6个三级指标构成，权重分为20分，实际得分20分，得分率为100%。</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立项依据充分性：本项目立项符合国家法律法规，符合自治区党委、人民政府安排部署及自治区“十四五”相关规划，符合自治区发展改革委职责范围，符合《新疆维吾尔自治区预算内投资项目管理办法》《自治区预算内前期费管理办法》，旨在支持市场不能有效配置资源、需要政府支持的经济和社会领域，立项依据充分，根据评分标准，该指标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立项程序规范性：项目按照规定的程序申请设立，审批文件、材料符合相关要求，根据决策依据编制工作计划和经费预算，经集体决策、提交委党组会议研究确定最终投资下达方案，根据评分标准，该指标不扣分，得3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（3）绩效目标合理性：绩效目标与实际工作内容具有相关性，预期产出效益和效果符合正常的业绩水平，且与预算确定的项目投资额或资金量相匹配，根据评分标准，该指标不扣分，得3分。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绩效指标明确性：将项目绩效目标细化分解为具体的绩效指标，10个三级指标，8个定量指标，量化率80%，通过清晰、可衡量的指标值予以体现，与项目目标任务数或计划数相对应，根据评分标准，该指标不扣分，得2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（5）预算编制科学性：预算编制经过科学论证，内容与项目内容匹配，项目投资额与工作任务相匹配，根据评分标准，该指标不扣分，得5分。</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（6）资金分配合理性：资金分配额度合理，与项目单位和地方实际相适应，根据评分标准，该指标不扣分，得2分。</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（二）项目过程情况。</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项目过程类指标包括资金管理和组织实施两方面的内容，由5个三级指标构成，权重分为20分，实际得分20分，得分率为100%。</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（1）资金到位率：财政资金足额拨付到位，资金到位率100%，根据评分标准，该指标不扣分，得2分。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（2）预算执行率：预算编制较为详细，项目资金支出总体能够按照预算执行，预算执行率100%，根据评分标准，该指标不扣分，得5分。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（3）资金使用合规性：经费使用符合《基本建设财务管理规定》，资金的拨付有完整的审批程序和手续，财务制度健全、执行严格，根据评分标准，该指标不扣分，得5分。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管理制度健全性：制定了《新疆维吾尔自治区预算内投资项目管理办法》《自治区预算内前期费管理办法》及发改委项目管理内控制度等相关管理制度，对财政专项资金进行严格管理，做到了专款专用，根据评分标准，该指标不扣分，得4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5）制度执行有效性：项目执行严格遵守《新疆维吾尔自治区预算内投资项目管理办法》《自治区预算内前期费管理办法》及发改委投资项目管理内控制度，但部分项目资料不齐全，归档不及时，根据评分标准，该指标不扣分，得4分。</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（三）项目产出情况。</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项目产出类指标包括产出数量、产出质量、产出成本三方面的内容，由3个三级指标构成，权重分为40分，实际得分35分，得分率为87.5%。</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（1）对于“产出数量”</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安排前期费项目覆盖地州数14，与预期目标一致，根据评分标准，该指标不扣分，得5分。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安排基建投资项目覆盖地州12，与预期目标一致，根据评分标准，该指标不扣分，得5分。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合计得10分。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（2）对于“产出质量”：</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项目均已下达的建设内容建设，与预期目标一致，根据评分标准，该指标不扣分，得5分。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当年完工项目工程质量合格率为100%，与预期目标一致，根据评分标准，该指标不扣分，得5分。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截至2025年12月31日，根据各地、有关部门汇总数据，项目投资计划完成率70%，未达到超出80%的年度绩效目标任务，根据评分标准，该指标得2分。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截至2025年12月31日，根据各地、有关部门汇总数据，资金拨付率56%，未达到60%的年度绩效目标任务，根据评分标准，该指标得3分。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合计得15分。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（3）对于“产出时效”：无此项指标。</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（4）对于“产出成本”：</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安排前期费84310万元，前期费下达比例为54.4%。符合预计绩效目标：前期费下达比例大于等于40%绩效目标。根据评分标准，该指标不扣分，得5分。</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安排基建投资70690万元,基建投资下达比例为45.6%。符合预计绩效目标：基建投资下达比例小于等于60%绩效目标。根据评分标准，该指标不扣分，得5分。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合计得10分。</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（四）项目效益情况。</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项目效益类指标包括项目效益1个方面的内容，由1个三级指标构成，权重分为20分，实际得分20分，得分率为100%。</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1.实施效益指标：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对于“经济效益指标”：补齐了当地短板和弱项，增强了可持续发展能力，与预期指标一致，根据评分标准，该指标不扣分，得6分。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对于“社会效益指标”：</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有效促进基层民生改善、社会和谐稳定，与预期指标一致，根据评分标准，该指标不扣分，得6分。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对于“可持续影响指标”：</w:t>
      </w:r>
    </w:p>
    <w:p>
      <w:pPr>
        <w:spacing w:line="540" w:lineRule="exact"/>
        <w:ind w:firstLine="567"/>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有效提升公共服务，与预期指标一致，根据评分标准，该指标不扣分，得8分。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实施效益指标合计得20分。</w:t>
      </w:r>
    </w:p>
    <w:p>
      <w:pPr>
        <w:spacing w:line="540" w:lineRule="exact"/>
        <w:ind w:firstLine="640"/>
        <w:rPr>
          <w:rStyle w:val="18"/>
          <w:rFonts w:hint="eastAsia" w:ascii="黑体" w:hAnsi="黑体" w:eastAsia="黑体" w:cs="黑体"/>
          <w:b w:val="0"/>
          <w:bCs/>
          <w:spacing w:val="-4"/>
          <w:sz w:val="32"/>
          <w:szCs w:val="32"/>
        </w:rPr>
      </w:pPr>
      <w:bookmarkStart w:id="0" w:name="_GoBack"/>
      <w:bookmarkEnd w:id="0"/>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、主要经验及做法、存在的问题及原因分析</w:t>
      </w:r>
    </w:p>
    <w:p>
      <w:pPr>
        <w:spacing w:line="540" w:lineRule="exact"/>
        <w:ind w:firstLine="624" w:firstLineChars="200"/>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（一）主要经验及做法</w:t>
      </w:r>
      <w:r>
        <w:rPr>
          <w:rStyle w:val="18"/>
          <w:rFonts w:hint="eastAsia" w:ascii="黑体" w:hAnsi="黑体" w:eastAsia="黑体" w:cs="黑体"/>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bCs w:val="0"/>
          <w:spacing w:val="-4"/>
          <w:sz w:val="32"/>
          <w:szCs w:val="32"/>
        </w:rPr>
        <w:t>一是</w:t>
      </w:r>
      <w:r>
        <w:rPr>
          <w:rStyle w:val="18"/>
          <w:rFonts w:hint="eastAsia" w:ascii="仿宋_GB2312" w:hAnsi="仿宋_GB2312" w:eastAsia="仿宋_GB2312" w:cs="仿宋_GB2312"/>
          <w:b w:val="0"/>
          <w:bCs/>
          <w:spacing w:val="-4"/>
          <w:sz w:val="32"/>
          <w:szCs w:val="32"/>
        </w:rPr>
        <w:t>加大基础设施、民生等领域补短板力度，发挥投资对经济增长的关键作用，确保经济平稳健康发展。</w:t>
      </w:r>
      <w:r>
        <w:rPr>
          <w:rStyle w:val="18"/>
          <w:rFonts w:hint="eastAsia" w:ascii="仿宋_GB2312" w:hAnsi="仿宋_GB2312" w:eastAsia="仿宋_GB2312" w:cs="仿宋_GB2312"/>
          <w:b/>
          <w:bCs w:val="0"/>
          <w:spacing w:val="-4"/>
          <w:sz w:val="32"/>
          <w:szCs w:val="32"/>
        </w:rPr>
        <w:t>二是</w:t>
      </w:r>
      <w:r>
        <w:rPr>
          <w:rStyle w:val="18"/>
          <w:rFonts w:hint="eastAsia" w:ascii="仿宋_GB2312" w:hAnsi="仿宋_GB2312" w:eastAsia="仿宋_GB2312" w:cs="仿宋_GB2312"/>
          <w:b w:val="0"/>
          <w:bCs/>
          <w:spacing w:val="-4"/>
          <w:sz w:val="32"/>
          <w:szCs w:val="32"/>
        </w:rPr>
        <w:t>是做好规划项目有序接力，规划编制和项目前期是推动项目建设的前期基础，规划研究和项目前期工作越深入，争取国家项目资金支持越主动。我委适当安排前期工作经费和重点规划课题研究，有利于做好自治区各行业政策、规划顶层设计，实现地方规划与国家规划的有序衔接，促进投资有效增长。</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楷体_GB2312" w:hAnsi="楷体_GB2312" w:eastAsia="楷体_GB2312" w:cs="楷体_GB2312"/>
          <w:b w:val="0"/>
          <w:bCs/>
          <w:spacing w:val="-4"/>
          <w:sz w:val="32"/>
          <w:szCs w:val="32"/>
        </w:rPr>
        <w:t>（二）存在问题及原因分析</w:t>
      </w:r>
      <w:r>
        <w:rPr>
          <w:rStyle w:val="18"/>
          <w:rFonts w:hint="eastAsia" w:ascii="楷体_GB2312" w:hAnsi="楷体_GB2312" w:eastAsia="楷体_GB2312" w:cs="楷体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目前自治区本级及各地州县市建设项目多、任务重，由于我区经济发展相对滞后，各级财政资金十分紧张，可用于基础设施建设的资金极为有限，建设资金需求量非常大，而自治区预算内投资规模又十分有限，远远不能满足实际需求，还需要自治区财政进一步加大投入力度。</w:t>
      </w:r>
    </w:p>
    <w:p>
      <w:pPr>
        <w:ind w:firstLine="624" w:firstLineChars="20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spacing w:line="540" w:lineRule="exact"/>
        <w:ind w:firstLine="624" w:firstLineChars="200"/>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1.根据自治区财力状况逐步增加自治区预算内投资规模，以发挥投资的引导带动作用，争取国家更多补助资金，带动相关领域项目建设，推动自治区经济社会高质量发展。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2.加强绩效管理重视程度，定期组织绩效管理培训。</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3.及时下拨资金，履行主管部门监管职能，不断提高资金的使用绩效,对跨年度实施项目资金当年未支出完毕的，可以结转到第二年使用，确保项目顺利推进建设。</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4.各项目单位严格执行项目调度和档案管理制度，每月将项目开工情况、投资完成情况、工程形象进度等数据报送我委对口处室，并做好项目审批、施工、采购、财务账目、合同签订等各环节文件归档整理。</w:t>
      </w:r>
    </w:p>
    <w:p>
      <w:pPr>
        <w:spacing w:line="540" w:lineRule="exact"/>
        <w:ind w:firstLine="567"/>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spacing w:line="540" w:lineRule="exact"/>
        <w:ind w:firstLine="624" w:firstLineChars="200"/>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我单位对上述项目支出绩效评价报告内反映内容的真实性、完整性负责，接受上级部门及社会公众监督。</w:t>
      </w:r>
    </w:p>
    <w:p>
      <w:pPr>
        <w:spacing w:line="540" w:lineRule="exact"/>
        <w:ind w:firstLine="567"/>
        <w:rPr>
          <w:rStyle w:val="18"/>
          <w:rFonts w:hint="eastAsia" w:ascii="仿宋_GB2312" w:hAnsi="仿宋_GB2312" w:eastAsia="仿宋_GB2312" w:cs="仿宋_GB2312"/>
          <w:b w:val="0"/>
          <w:bCs/>
          <w:spacing w:val="-4"/>
          <w:sz w:val="32"/>
          <w:szCs w:val="32"/>
        </w:rPr>
      </w:pPr>
    </w:p>
    <w:p>
      <w:pPr>
        <w:spacing w:line="540" w:lineRule="exact"/>
        <w:ind w:firstLine="567"/>
        <w:rPr>
          <w:rStyle w:val="18"/>
          <w:rFonts w:hint="eastAsia" w:ascii="仿宋_GB2312" w:hAnsi="仿宋_GB2312" w:eastAsia="仿宋_GB2312" w:cs="仿宋_GB2312"/>
          <w:b w:val="0"/>
          <w:bCs/>
          <w:spacing w:val="-4"/>
          <w:sz w:val="32"/>
          <w:szCs w:val="32"/>
        </w:rPr>
      </w:pPr>
    </w:p>
    <w:p>
      <w:pPr>
        <w:spacing w:line="540" w:lineRule="exact"/>
        <w:ind w:firstLine="567"/>
        <w:rPr>
          <w:rStyle w:val="18"/>
          <w:rFonts w:hint="eastAsia" w:ascii="仿宋_GB2312" w:hAnsi="仿宋_GB2312" w:eastAsia="仿宋_GB2312" w:cs="仿宋_GB2312"/>
          <w:b w:val="0"/>
          <w:bCs/>
          <w:spacing w:val="-4"/>
          <w:sz w:val="32"/>
          <w:szCs w:val="32"/>
        </w:rPr>
      </w:pPr>
    </w:p>
    <w:p>
      <w:pPr>
        <w:spacing w:line="540" w:lineRule="exact"/>
        <w:rPr>
          <w:rStyle w:val="18"/>
          <w:rFonts w:hint="eastAsia" w:ascii="仿宋_GB2312" w:hAnsi="仿宋_GB2312" w:eastAsia="仿宋_GB2312" w:cs="仿宋_GB2312"/>
          <w:b w:val="0"/>
          <w:bCs/>
          <w:spacing w:val="-4"/>
          <w:sz w:val="32"/>
          <w:szCs w:val="32"/>
        </w:rPr>
      </w:pPr>
    </w:p>
    <w:sectPr>
      <w:footerReference r:id="rId3" w:type="default"/>
      <w:pgSz w:w="11906" w:h="16838"/>
      <w:pgMar w:top="1440" w:right="1558"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楷体_GB2312">
    <w:panose1 w:val="02010609030101010101"/>
    <w:charset w:val="86"/>
    <w:family w:val="auto"/>
    <w:pitch w:val="default"/>
    <w:sig w:usb0="00000001" w:usb1="080E0000" w:usb2="00000000" w:usb3="00000000" w:csb0="00040000" w:csb1="00000000"/>
  </w:font>
  <w:font w:name="方正大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1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6DD4A6C"/>
    <w:rsid w:val="4C3D1751"/>
    <w:rsid w:val="4D2606A1"/>
    <w:rsid w:val="5EEBC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6278</Words>
  <Characters>6517</Characters>
  <Lines>5</Lines>
  <Paragraphs>1</Paragraphs>
  <TotalTime>3</TotalTime>
  <ScaleCrop>false</ScaleCrop>
  <LinksUpToDate>false</LinksUpToDate>
  <CharactersWithSpaces>6532</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fgw</cp:lastModifiedBy>
  <cp:lastPrinted>2018-12-31T18:56:00Z</cp:lastPrinted>
  <dcterms:modified xsi:type="dcterms:W3CDTF">2026-08-26T20:23:19Z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126F9A9E62214A76ABA34C7575736FCB_13</vt:lpwstr>
  </property>
  <property fmtid="{D5CDD505-2E9C-101B-9397-08002B2CF9AE}" pid="4" name="KSOTemplateDocerSaveRecord">
    <vt:lpwstr>eyJoZGlkIjoiODZhYzIwZDcyMmZiZDI3YjJjMTZiYzhkZDYyODMwZTIifQ==</vt:lpwstr>
  </property>
</Properties>
</file>