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default" w:ascii="Times New Roman" w:hAnsi="Times New Roman" w:eastAsia="楷体" w:cs="Times New Roman"/>
          <w:spacing w:val="-4"/>
          <w:sz w:val="32"/>
          <w:szCs w:val="32"/>
        </w:rPr>
        <w:t>2025</w:t>
      </w:r>
      <w:r>
        <w:rPr>
          <w:rFonts w:hint="default" w:ascii="Times New Roman" w:hAnsi="Times New Roman" w:eastAsia="仿宋_GB2312" w:cs="Times New Roman"/>
          <w:kern w:val="0"/>
          <w:sz w:val="36"/>
          <w:szCs w:val="36"/>
        </w:rPr>
        <w:t xml:space="preserve"> </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900" w:firstLineChars="250"/>
        <w:jc w:val="left"/>
        <w:rPr>
          <w:rFonts w:hint="default" w:ascii="Times New Roman" w:hAnsi="Times New Roman" w:eastAsia="仿宋_GB2312" w:cs="Times New Roman"/>
          <w:kern w:val="0"/>
          <w:sz w:val="36"/>
          <w:szCs w:val="36"/>
        </w:rPr>
      </w:pPr>
      <w:r>
        <w:rPr>
          <w:rFonts w:hint="eastAsia" w:hAnsi="宋体" w:eastAsia="仿宋_GB2312" w:cs="宋体"/>
          <w:kern w:val="0"/>
          <w:sz w:val="36"/>
          <w:szCs w:val="36"/>
        </w:rPr>
        <w:t>项目名称：</w:t>
      </w:r>
      <w:r>
        <w:rPr>
          <w:rStyle w:val="18"/>
          <w:rFonts w:hint="default" w:ascii="Times New Roman" w:hAnsi="Times New Roman" w:eastAsia="楷体" w:cs="Times New Roman"/>
          <w:spacing w:val="-4"/>
          <w:sz w:val="32"/>
          <w:szCs w:val="32"/>
        </w:rPr>
        <w:t>2025年全社会节能减排资金</w:t>
      </w:r>
    </w:p>
    <w:p>
      <w:pPr>
        <w:spacing w:line="540" w:lineRule="exact"/>
        <w:ind w:firstLine="567"/>
        <w:rPr>
          <w:rFonts w:hint="default" w:ascii="Times New Roman" w:hAnsi="Times New Roman" w:eastAsia="楷体" w:cs="Times New Roman"/>
          <w:b/>
          <w:bCs/>
          <w:spacing w:val="-4"/>
          <w:sz w:val="32"/>
          <w:szCs w:val="32"/>
        </w:rPr>
      </w:pPr>
      <w:r>
        <w:rPr>
          <w:rFonts w:hint="default" w:ascii="Times New Roman" w:hAnsi="Times New Roman" w:eastAsia="仿宋_GB2312" w:cs="Times New Roman"/>
          <w:kern w:val="0"/>
          <w:sz w:val="36"/>
          <w:szCs w:val="36"/>
        </w:rPr>
        <w:t xml:space="preserve">  实施单位（公章）：</w:t>
      </w:r>
      <w:r>
        <w:rPr>
          <w:rStyle w:val="18"/>
          <w:rFonts w:hint="default" w:ascii="Times New Roman" w:hAnsi="Times New Roman" w:eastAsia="楷体" w:cs="Times New Roman"/>
          <w:spacing w:val="-4"/>
          <w:sz w:val="28"/>
          <w:szCs w:val="28"/>
        </w:rPr>
        <w:t>新疆维吾尔自治区发展和改革委员会</w:t>
      </w:r>
    </w:p>
    <w:p>
      <w:pPr>
        <w:spacing w:line="540" w:lineRule="exact"/>
        <w:ind w:firstLine="900" w:firstLineChars="250"/>
        <w:rPr>
          <w:rFonts w:hint="default" w:ascii="Times New Roman" w:hAnsi="Times New Roman" w:eastAsia="楷体" w:cs="Times New Roman"/>
          <w:b/>
          <w:bCs/>
          <w:spacing w:val="-4"/>
          <w:sz w:val="28"/>
          <w:szCs w:val="28"/>
        </w:rPr>
      </w:pPr>
      <w:r>
        <w:rPr>
          <w:rFonts w:hint="default" w:ascii="Times New Roman" w:hAnsi="Times New Roman" w:eastAsia="仿宋_GB2312" w:cs="Times New Roman"/>
          <w:kern w:val="0"/>
          <w:sz w:val="36"/>
          <w:szCs w:val="36"/>
        </w:rPr>
        <w:t>主管部门（公章）：</w:t>
      </w:r>
      <w:r>
        <w:rPr>
          <w:rStyle w:val="18"/>
          <w:rFonts w:hint="default" w:ascii="Times New Roman" w:hAnsi="Times New Roman" w:eastAsia="楷体" w:cs="Times New Roman"/>
          <w:spacing w:val="-4"/>
          <w:sz w:val="28"/>
          <w:szCs w:val="28"/>
        </w:rPr>
        <w:t>新疆维吾尔自治区发展和改革委员会</w:t>
      </w:r>
    </w:p>
    <w:p>
      <w:pPr>
        <w:spacing w:line="540" w:lineRule="exact"/>
        <w:ind w:firstLine="900" w:firstLineChars="250"/>
        <w:rPr>
          <w:rFonts w:hint="default" w:ascii="Times New Roman" w:hAnsi="Times New Roman" w:eastAsia="楷体" w:cs="Times New Roman"/>
          <w:b/>
          <w:bCs/>
          <w:spacing w:val="-4"/>
          <w:sz w:val="32"/>
          <w:szCs w:val="32"/>
        </w:rPr>
      </w:pPr>
      <w:r>
        <w:rPr>
          <w:rFonts w:hint="default" w:ascii="Times New Roman" w:hAnsi="Times New Roman" w:eastAsia="仿宋_GB2312" w:cs="Times New Roman"/>
          <w:kern w:val="0"/>
          <w:sz w:val="36"/>
          <w:szCs w:val="36"/>
        </w:rPr>
        <w:t>项目负责人（签章）：</w:t>
      </w:r>
      <w:r>
        <w:rPr>
          <w:rStyle w:val="18"/>
          <w:rFonts w:hint="default" w:ascii="Times New Roman" w:hAnsi="Times New Roman" w:eastAsia="楷体" w:cs="Times New Roman"/>
          <w:spacing w:val="-4"/>
          <w:sz w:val="32"/>
          <w:szCs w:val="32"/>
        </w:rPr>
        <w:t>吴铁城</w:t>
      </w:r>
    </w:p>
    <w:p>
      <w:pPr>
        <w:spacing w:line="540" w:lineRule="exact"/>
        <w:ind w:left="273" w:firstLine="567"/>
        <w:rPr>
          <w:rStyle w:val="18"/>
          <w:rFonts w:ascii="楷体" w:hAnsi="楷体" w:eastAsia="楷体"/>
          <w:spacing w:val="-4"/>
          <w:sz w:val="32"/>
          <w:szCs w:val="32"/>
        </w:rPr>
      </w:pPr>
      <w:r>
        <w:rPr>
          <w:rFonts w:hint="default" w:ascii="Times New Roman" w:hAnsi="Times New Roman" w:eastAsia="仿宋_GB2312" w:cs="Times New Roman"/>
          <w:kern w:val="0"/>
          <w:sz w:val="36"/>
          <w:szCs w:val="36"/>
        </w:rPr>
        <w:t>填报时间：</w:t>
      </w:r>
      <w:r>
        <w:rPr>
          <w:rStyle w:val="18"/>
          <w:rFonts w:hint="default" w:ascii="Times New Roman" w:hAnsi="Times New Roman" w:eastAsia="楷体" w:cs="Times New Roman"/>
          <w:spacing w:val="-4"/>
          <w:sz w:val="32"/>
          <w:szCs w:val="32"/>
        </w:rPr>
        <w:t>2026年04月13日</w:t>
      </w:r>
    </w:p>
    <w:p>
      <w:pPr>
        <w:spacing w:line="540" w:lineRule="exact"/>
        <w:rPr>
          <w:rStyle w:val="18"/>
          <w:rFonts w:ascii="黑体" w:hAnsi="黑体" w:eastAsia="黑体"/>
          <w:b w:val="0"/>
          <w:spacing w:val="-4"/>
          <w:sz w:val="32"/>
          <w:szCs w:val="32"/>
        </w:rPr>
      </w:pPr>
    </w:p>
    <w:p>
      <w:pPr>
        <w:spacing w:line="540" w:lineRule="exact"/>
        <w:ind w:firstLine="640"/>
        <w:rPr>
          <w:rStyle w:val="18"/>
          <w:rFonts w:hint="eastAsia" w:ascii="黑体" w:hAnsi="黑体" w:eastAsia="黑体" w:cs="黑体"/>
          <w:b w:val="0"/>
          <w:bCs/>
          <w:spacing w:val="-4"/>
          <w:sz w:val="32"/>
          <w:szCs w:val="32"/>
        </w:rPr>
        <w:sectPr>
          <w:pgSz w:w="11906" w:h="16838"/>
          <w:pgMar w:top="1928" w:right="1558" w:bottom="1701" w:left="1800" w:header="851" w:footer="992" w:gutter="0"/>
          <w:cols w:space="425" w:num="1"/>
          <w:docGrid w:type="lines" w:linePitch="312" w:charSpace="0"/>
        </w:sectPr>
      </w:pPr>
    </w:p>
    <w:p>
      <w:pPr>
        <w:spacing w:line="540" w:lineRule="exact"/>
        <w:ind w:firstLine="640"/>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rPr>
        <w:t>一、基本情况</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eastAsia" w:ascii="楷体_GB2312" w:hAnsi="楷体_GB2312" w:eastAsia="楷体_GB2312" w:cs="楷体_GB2312"/>
          <w:b w:val="0"/>
          <w:bCs/>
          <w:spacing w:val="-4"/>
          <w:sz w:val="32"/>
          <w:szCs w:val="32"/>
        </w:rPr>
        <w:t>（一）项目概况。包括项目背景、主要内容及实施情况、资金投入和使用情况等</w:t>
      </w:r>
      <w:r>
        <w:rPr>
          <w:rStyle w:val="18"/>
          <w:rFonts w:hint="default" w:ascii="Times New Roman" w:hAnsi="Times New Roman" w:eastAsia="仿宋_GB2312" w:cs="Times New Roman"/>
          <w:b w:val="0"/>
          <w:bCs/>
          <w:spacing w:val="-4"/>
          <w:sz w:val="32"/>
          <w:szCs w:val="32"/>
        </w:rPr>
        <w:t>。</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本项目遵循财政部《项目支出绩效评价管理办法》（财预〔2020〕10号）和自治区财政厅《自治区财政支出绩效评价管理暂行办法》（新财预〔2018〕189号）《中华人民共和国节约能源法》《新疆维吾尔自治区实施〈中华人民共和国节约能源法〉办法》和《新疆维吾尔自治区节能减排专项资金管理暂行办法》等相关政策文件与规定，按照国家和自治区关于年度节能工作及碳达峰碳中和重点工作部署，结合年度工作重点、资金支持规模以及各单位项目申报情况，会同有关部门做好统筹协调安排节能减排项目，申请财政拨付自治区全社会节能减排专项资金4500万元。</w:t>
      </w:r>
    </w:p>
    <w:p>
      <w:pPr>
        <w:spacing w:line="540" w:lineRule="exact"/>
        <w:ind w:firstLine="564" w:firstLineChars="181"/>
        <w:rPr>
          <w:rStyle w:val="18"/>
          <w:rFonts w:hint="default" w:ascii="Times New Roman" w:hAnsi="Times New Roman" w:eastAsia="仿宋_GB2312" w:cs="Times New Roman"/>
          <w:b w:val="0"/>
          <w:bCs/>
          <w:spacing w:val="-4"/>
          <w:sz w:val="32"/>
          <w:szCs w:val="32"/>
        </w:rPr>
      </w:pPr>
      <w:r>
        <w:rPr>
          <w:rStyle w:val="18"/>
          <w:rFonts w:hint="eastAsia" w:ascii="楷体_GB2312" w:hAnsi="楷体_GB2312" w:eastAsia="楷体_GB2312" w:cs="楷体_GB2312"/>
          <w:b w:val="0"/>
          <w:bCs/>
          <w:spacing w:val="-4"/>
          <w:sz w:val="32"/>
          <w:szCs w:val="32"/>
        </w:rPr>
        <w:t>（二）项目绩效目标。包括总体目标和阶段性目标</w:t>
      </w:r>
      <w:r>
        <w:rPr>
          <w:rStyle w:val="18"/>
          <w:rFonts w:hint="default" w:ascii="Times New Roman" w:hAnsi="Times New Roman" w:eastAsia="仿宋_GB2312" w:cs="Times New Roman"/>
          <w:b w:val="0"/>
          <w:bCs/>
          <w:spacing w:val="-4"/>
          <w:sz w:val="32"/>
          <w:szCs w:val="32"/>
        </w:rPr>
        <w:t>。</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1.总体目标：通过实施节能降碳示范、节能能力建设和节能宣传等项目，进一步推进建筑、交通等重点领域节能降碳改造示范，加强节能降碳政策体系研究完善，加快降碳技术推广应用，不断提高能源利用效率，提升节能管理水平，促进绿色低碳高质量发展，助力实现碳达峰、碳中和。</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2.阶段性目标</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前期准备：项目实施前期按照国家和自治区关于年度节能工作及碳达峰碳中和工作部署，根据年度重点工作和自治区节能减排专项资金管理相关要求，研究提出年度节能减排专项资</w:t>
      </w:r>
      <w:bookmarkStart w:id="0" w:name="_GoBack"/>
      <w:bookmarkEnd w:id="0"/>
      <w:r>
        <w:rPr>
          <w:rStyle w:val="18"/>
          <w:rFonts w:hint="default" w:ascii="Times New Roman" w:hAnsi="Times New Roman" w:eastAsia="仿宋_GB2312" w:cs="Times New Roman"/>
          <w:b w:val="0"/>
          <w:bCs/>
          <w:spacing w:val="-4"/>
          <w:sz w:val="32"/>
          <w:szCs w:val="32"/>
        </w:rPr>
        <w:t>金申报方向，制定申报指南，会同自治区财政厅组织相关单位和地州发展改革委开展项目申报工作，经筛选复核并按程序确定2025年度全社会节能减排专项资金项目计划。</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组织实施：督促各项目单位严格落实投资计划执行和项目管理的主体责任，严格按投资计划组织实施，及时准确上报进度数据和信息，自觉接受各级监管部门监督检查。在资金管理方面，项目资金到位足额及时支付，资金使用符合国家法规和财务管理制度，不截留、挤占、挪用、虚列支出。项目支出手续完备，项目资料齐全并及时归档。同时注重建立长效机制，着眼项目长期效益的发挥。</w:t>
      </w:r>
    </w:p>
    <w:p>
      <w:pPr>
        <w:spacing w:line="540" w:lineRule="exact"/>
        <w:ind w:firstLine="640"/>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rPr>
        <w:t>二、绩效评价工作开展情况</w:t>
      </w:r>
    </w:p>
    <w:p>
      <w:pPr>
        <w:spacing w:line="540" w:lineRule="exact"/>
        <w:ind w:firstLine="564" w:firstLineChars="181"/>
        <w:rPr>
          <w:rStyle w:val="18"/>
          <w:rFonts w:hint="default" w:ascii="Times New Roman" w:hAnsi="Times New Roman" w:eastAsia="仿宋_GB2312" w:cs="Times New Roman"/>
          <w:b w:val="0"/>
          <w:bCs/>
          <w:spacing w:val="-4"/>
          <w:sz w:val="32"/>
          <w:szCs w:val="32"/>
        </w:rPr>
      </w:pPr>
      <w:r>
        <w:rPr>
          <w:rStyle w:val="18"/>
          <w:rFonts w:hint="eastAsia" w:ascii="楷体_GB2312" w:hAnsi="楷体_GB2312" w:eastAsia="楷体_GB2312" w:cs="楷体_GB2312"/>
          <w:b w:val="0"/>
          <w:bCs/>
          <w:spacing w:val="-4"/>
          <w:sz w:val="32"/>
          <w:szCs w:val="32"/>
        </w:rPr>
        <w:t>（一）绩效评价目的、对象和范围。</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1.绩效评价目的。本次绩效评价旨在评价财政项目实施前期、过程及效果，评价财政预算资金使用的效率及效益；发现预算资金在制定投资计划、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2.绩效评价对象。本次绩效评价以2025年全社会节能减排专项资金项目支出对象所对应的预算资金，以项目实施所带来的产出和效果为主要内容，以促进预算单位完成特定工作任务目标所组织开展的绩效评价。</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绩效评价范围。本次评价范围涵盖项目总体绩效目标、各项绩效指标完成情况以及预算执行情况。覆盖项目预算资金支出的所有内容进行评价。包括项目决策、过程、项目实施和项目成果验收流程、项目达到的效益等。</w:t>
      </w:r>
    </w:p>
    <w:p>
      <w:pPr>
        <w:spacing w:line="540" w:lineRule="exact"/>
        <w:ind w:firstLine="564" w:firstLineChars="181"/>
        <w:rPr>
          <w:rStyle w:val="18"/>
          <w:rFonts w:hint="eastAsia" w:ascii="楷体_GB2312" w:hAnsi="楷体_GB2312" w:eastAsia="楷体_GB2312" w:cs="楷体_GB2312"/>
          <w:b w:val="0"/>
          <w:bCs/>
          <w:spacing w:val="-4"/>
          <w:sz w:val="32"/>
          <w:szCs w:val="32"/>
        </w:rPr>
      </w:pPr>
      <w:r>
        <w:rPr>
          <w:rStyle w:val="18"/>
          <w:rFonts w:hint="eastAsia" w:ascii="楷体_GB2312" w:hAnsi="楷体_GB2312" w:eastAsia="楷体_GB2312" w:cs="楷体_GB2312"/>
          <w:b w:val="0"/>
          <w:bCs/>
          <w:spacing w:val="-4"/>
          <w:sz w:val="32"/>
          <w:szCs w:val="32"/>
        </w:rPr>
        <w:t>（二）绩效评价原则、评价指标体系（附表说明）、评价方法、评价标准等。</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1.绩效评价原则。</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（1）科学公正。绩效评价运用科学合理的方法，按照规范的程序，对项目绩效进行客观、公正的反映。</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（2）统筹兼顾。组织相关单位开展自评，单位自评的基础上开展部门评价。</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（3）激励约束。将绩效评价结果与预算安排、政策调整、改进管理实质性挂钩，体现奖优罚劣和激励相容导向。</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2.绩效评价指标体系。</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一级指标为：决策、产出、效益、满意度。</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二级指标为：数量指标、质量指标、质量指标、时效指标、生态效指标、满意度指标。</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三级指标为：实施项目数量、资金使用合规率、验收合格率、按计划开工率、资金到位及时率、能源资源消耗水平、资金使用单位人员满意情况。</w:t>
      </w:r>
    </w:p>
    <w:p>
      <w:pPr>
        <w:spacing w:line="540" w:lineRule="exact"/>
        <w:ind w:firstLine="564" w:firstLineChars="181"/>
        <w:rPr>
          <w:rStyle w:val="18"/>
          <w:rFonts w:hint="eastAsia" w:ascii="楷体_GB2312" w:hAnsi="楷体_GB2312" w:eastAsia="楷体_GB2312" w:cs="楷体_GB2312"/>
          <w:b w:val="0"/>
          <w:bCs/>
          <w:spacing w:val="-4"/>
          <w:sz w:val="32"/>
          <w:szCs w:val="32"/>
        </w:rPr>
      </w:pPr>
      <w:r>
        <w:rPr>
          <w:rStyle w:val="18"/>
          <w:rFonts w:hint="eastAsia" w:ascii="楷体_GB2312" w:hAnsi="楷体_GB2312" w:eastAsia="楷体_GB2312" w:cs="楷体_GB2312"/>
          <w:b w:val="0"/>
          <w:bCs/>
          <w:spacing w:val="-4"/>
          <w:sz w:val="32"/>
          <w:szCs w:val="32"/>
        </w:rPr>
        <w:t>（三）绩效评价工作过程。</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第一阶段：前期准备。</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吴铁城任评价组组长，绩效评价工作职责为负责全盘工作。</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程鹏隽任评价组副组长，绩效评价工作职责对项目实施情况进行实地调查，指导指标完成情况分析。</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叶尔生任评价组成员，绩效评价工作职责为负责资料审核、撰写报告等工作。</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王晓刚任评价组成员，绩效评价工作职责为负责组织各单位自评、归集档案等工作。</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第二阶段：组织实施。</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经评价组通过实地调研、查阅资料等方式，采用综合分析法对项目的决策、管理、绩效进行的综合评价分析。</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第三阶段：分析评价。</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首先按照指标体系进行定量、定性分析。其次开展量化打分、综合评价工作，形成初步评价结论。最后归纳整体项目情况与存在问题，撰写部门绩效评价报告。</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第四阶段：撰写与提交评价报告</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项目撰写绩效评价报告，按照财政部门大平台绩效系统中统一格式和文本框架撰写绩效评价报告。</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第五阶段：归集档案</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640"/>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rPr>
        <w:t>三、综合评价情况及评价结论</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 xml:space="preserve">2025年全社会节能减排专项资金项目总体组织规范，完成了项目实施的各项工作目标，规范了项目档案资料整理，持续推动我区公共机构节能改造、推进建筑、交通领域低碳项目示范、进一步完善了节能降碳政策体系、推进节能统计能力建设，节能减排工作取得积极进展，不断降低能源资源消耗水平，助力实现我区碳达峰碳中和任务目标。 </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 xml:space="preserve">在项目决策方面，通过各有关单位提出项目建设需求，自治区交通、住建、机关事务管理局初审推荐，结合国家和自治区关于年度节能工作及碳达峰碳中和重点工作安排部署，坚持集体决策，经过专题会议研究，项目计划制定依据充分，程序规范。 </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项目管理方面，2025年本项目预算安排4500万元，截至目前实际执行4500万元，预算执行率100%。项目资金使用合规，项目财务管理制度健全，财务监控到位，所有资金支付均按照国库集中支付制度严格执行，现有项目管理制度执行情况良好。</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项目产出方面，2025年本项目投资计划安排实施24个项目，跨年实施项目正在有序推进，年内实施项目已完工，实际实施项目产出数量和覆盖部门及地州达到预期效果。</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项目效益方面：经初步测算，扣除原料用能和可再生能源消费后，我区2025年单位GDP能耗强度预估降低4%以上，为完成“十四五”国家下达我区能耗强度降低目标任务奠定良好基础。项目的实施，为我区能源资源消耗水平持续降低、经济社会可持续发展提供有力保障。</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综合评价结论：运用项目组制定评价指标体系及财政部《项目支出绩效评价管理办法》（财预〔2020〕10号）文件评分标准进行评价，该项目最终评分100分，绩效评级为“优”，具体得分情况为：项目决策20分、项目过程20分、项目产出30分、项目效益30分。</w:t>
      </w:r>
    </w:p>
    <w:p>
      <w:pPr>
        <w:spacing w:line="540" w:lineRule="exact"/>
        <w:ind w:firstLine="640"/>
        <w:rPr>
          <w:rStyle w:val="18"/>
          <w:rFonts w:hint="eastAsia" w:ascii="黑体" w:hAnsi="黑体" w:eastAsia="黑体" w:cs="黑体"/>
          <w:b w:val="0"/>
          <w:bCs/>
        </w:rPr>
      </w:pPr>
      <w:r>
        <w:rPr>
          <w:rStyle w:val="18"/>
          <w:rFonts w:hint="eastAsia" w:ascii="黑体" w:hAnsi="黑体" w:eastAsia="黑体" w:cs="黑体"/>
          <w:b w:val="0"/>
          <w:bCs/>
          <w:spacing w:val="-4"/>
          <w:sz w:val="32"/>
          <w:szCs w:val="32"/>
        </w:rPr>
        <w:t xml:space="preserve">四、绩效评价指标分析 </w:t>
      </w:r>
    </w:p>
    <w:p>
      <w:pPr>
        <w:spacing w:line="540" w:lineRule="exact"/>
        <w:ind w:firstLine="564" w:firstLineChars="181"/>
        <w:rPr>
          <w:rFonts w:hint="eastAsia" w:ascii="楷体_GB2312" w:hAnsi="楷体_GB2312" w:eastAsia="楷体_GB2312" w:cs="楷体_GB2312"/>
          <w:b w:val="0"/>
          <w:bCs/>
          <w:spacing w:val="-4"/>
          <w:sz w:val="32"/>
          <w:szCs w:val="32"/>
        </w:rPr>
      </w:pPr>
      <w:r>
        <w:rPr>
          <w:rFonts w:hint="eastAsia" w:ascii="楷体_GB2312" w:hAnsi="楷体_GB2312" w:eastAsia="楷体_GB2312" w:cs="楷体_GB2312"/>
          <w:b w:val="0"/>
          <w:bCs/>
          <w:spacing w:val="-4"/>
          <w:sz w:val="32"/>
          <w:szCs w:val="32"/>
        </w:rPr>
        <w:t>（一）项目决策情况。</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项目决策类指标包括项目立项、绩效目标和资金投入三方面的内容，由6个三级指标构成，权重分为 20 分，实际得分20分，得分率为100%。</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1.立项依据充分性：为深入推进节能减排工作，确保我区节能减排总体目标任务取得积极进展，根据《中华人民共和国节约能源法》、《新疆维吾尔自治区实施〈中华人民共和国节约能源法〉办法》，自治区设立节能减排专项资金，并制定《新疆维吾尔自治区节能减排专项资金管理暂行办法》，项目立项依据充分。根据评分标准，该指标不扣分，得5分。</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立项程序规范性：按照《新疆维吾尔自治区节能减排专项资金管理暂行办法》，自治区发展改革委统筹安排全社会节能减排资金，通过各有关单位提出项目建设需求、结合国家和自治区关于节能工作和碳达峰碳中和重点工作安排部署，坚持集体决策，经过专题会议研究，项目计划制定程序规范。根据评分标准，该指标不扣分，得3分。</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3.绩效目标合理性：充分结合计划项目的实施目的，合理确定项目绩效目标。根据评分标准，该指标不扣分，得3分。</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4.绩效指标明确性：项目计划明确了总体目标，并对任务进行了分解，对目标进行了细化。根据评分标准，该指标不扣分，得2分。</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5.预算编制科学性：按照《中华人民共和国节约能源法》、《新疆维吾尔自治区实施〈中华人民共和国节约能源法〉办法》关于县级以上人民政府设立节能减排专项资金的要求，根据自治区节能减排成员单位工作任务，设立自治区节能减排专项资金，内容与项目内容匹配，项目投资额与工作任务相匹配，根据评分标准，该指标不扣分，得5分。</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6.资金分配合理性：2025年自治区全社会节能减排专项资金按照突出重点工作，兼顾基础能力支撑；突出重点领域，强化节能示范作用；突出安排标准，确保资金计划科学合理的原则，统筹考虑住建、交通、公共机构等领域年度节能减排工作重点，参照节能减碳中央预算内投资补助标准，制定申报指南，结合各相关部门的项目申报情况，拟定年度专项资金计划方案。资金分配与实际相适应，根据评分标准，该指标不扣分，得2分。</w:t>
      </w:r>
    </w:p>
    <w:p>
      <w:pPr>
        <w:spacing w:line="540" w:lineRule="exact"/>
        <w:ind w:firstLine="564" w:firstLineChars="181"/>
        <w:rPr>
          <w:rFonts w:hint="eastAsia" w:ascii="楷体_GB2312" w:hAnsi="楷体_GB2312" w:eastAsia="楷体_GB2312" w:cs="楷体_GB2312"/>
          <w:b w:val="0"/>
          <w:bCs/>
          <w:spacing w:val="-4"/>
          <w:sz w:val="32"/>
          <w:szCs w:val="32"/>
        </w:rPr>
      </w:pPr>
      <w:r>
        <w:rPr>
          <w:rFonts w:hint="eastAsia" w:ascii="楷体_GB2312" w:hAnsi="楷体_GB2312" w:eastAsia="楷体_GB2312" w:cs="楷体_GB2312"/>
          <w:b w:val="0"/>
          <w:bCs/>
          <w:spacing w:val="-4"/>
          <w:sz w:val="32"/>
          <w:szCs w:val="32"/>
        </w:rPr>
        <w:t>（二）项目过程情况。</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项目过程类指标包括资金管理和组织实施两方面的内容，由 5个三级指标构成，权重分为20分，实际得分20分，得分率为100%。</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 xml:space="preserve">1.资金到位率：财政资金足额拨付到位，牵头单位能够及时足额按照合同约定将专项资金拨付给项目单位，根据评分标准，该指标不扣分，得2分。   </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2.预算执行率：预算编制详细，项目资金支出能够按照预算执行。项目到位资金4500万元，执行资金4500万元，执行率100%。根据评分标准，该指标不扣分，得5分。</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3.资金使用合规性：制定了相关的制度和管理规定对经费使用进行规范管理，财务制度健全、执行严格，根据评分标准，该指标不扣分，得5分。</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4.管理制度健全性：自治区已制定了自治区节能减排资金管理办法，对财政专项资金进行严格管理，做到了专款专用，根据评分标准，该指标不扣分，得4分。</w:t>
      </w:r>
      <w:r>
        <w:rPr>
          <w:rStyle w:val="18"/>
          <w:rFonts w:hint="default" w:ascii="Times New Roman" w:hAnsi="Times New Roman" w:eastAsia="仿宋_GB2312" w:cs="Times New Roman"/>
          <w:b w:val="0"/>
          <w:bCs/>
          <w:spacing w:val="-4"/>
          <w:sz w:val="32"/>
          <w:szCs w:val="32"/>
        </w:rPr>
        <w:cr/>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5.制度执行有效性：按照自治区节能减排专项资金暂行管理办法，由机关事务、住建、交通等行业部门和各地发展改革委及相关单位提出资金使用申请，结合国家和自治区关于节能工作和碳达峰碳中和重点工作安排部署，经审核筛选拟定计划方案，并报请委党组审议通过，下达实施。加强对计划项目的监管，按期对资金使用效果进行自评，根据评分标准，该指标不扣分，得4分。</w:t>
      </w:r>
    </w:p>
    <w:p>
      <w:pPr>
        <w:spacing w:line="540" w:lineRule="exact"/>
        <w:ind w:firstLine="564" w:firstLineChars="181"/>
        <w:rPr>
          <w:rFonts w:hint="eastAsia" w:ascii="楷体_GB2312" w:hAnsi="楷体_GB2312" w:eastAsia="楷体_GB2312" w:cs="楷体_GB2312"/>
          <w:b w:val="0"/>
          <w:bCs/>
          <w:spacing w:val="-4"/>
          <w:sz w:val="32"/>
          <w:szCs w:val="32"/>
        </w:rPr>
      </w:pPr>
      <w:r>
        <w:rPr>
          <w:rFonts w:hint="eastAsia" w:ascii="楷体_GB2312" w:hAnsi="楷体_GB2312" w:eastAsia="楷体_GB2312" w:cs="楷体_GB2312"/>
          <w:b w:val="0"/>
          <w:bCs/>
          <w:spacing w:val="-4"/>
          <w:sz w:val="32"/>
          <w:szCs w:val="32"/>
        </w:rPr>
        <w:t>（三）项目产出情况。</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项目产出类指标包括产出数量、产出质量、产出时效、产出成本四方面的内容，由5个三级指标构成，权重分为40分，实际得分40分。</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1.对于“产出数量”</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项目预期实施数量目标为不少于24个节能减排项目，实际在资金计划下达中安排24个项目，与预期目标一致，根据评分标准，该指标不扣分，得10分。</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2.对于“产出质量”：</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已完工项目验收合格率100%，与预期目标一致，根据评分标准，该指标不扣分，得5分；</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资金使用合格率为100%，与与预期目标一致，根据评分标准，该指标不扣分，得5分。</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合计得分10分。</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3.对于“产出时效”：</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资金及时到位率为100%，与预期目标指标一致，根据评分标准，该指标不扣分，得5分。</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项目按计划开工率为100%，预期目标90%，根据评分标准，该指标不扣分，得5分。</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合计得10分。</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4.对于“产出成本”：</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本专项资金4500万元，项目经费都能控制专项经费安排资金范围内，根据评分标准，该指标不扣分，得10分。</w:t>
      </w:r>
    </w:p>
    <w:p>
      <w:pPr>
        <w:spacing w:line="540" w:lineRule="exact"/>
        <w:ind w:firstLine="564" w:firstLineChars="181"/>
        <w:rPr>
          <w:rFonts w:hint="eastAsia" w:ascii="楷体_GB2312" w:hAnsi="楷体_GB2312" w:eastAsia="楷体_GB2312" w:cs="楷体_GB2312"/>
          <w:b w:val="0"/>
          <w:bCs/>
          <w:spacing w:val="-4"/>
          <w:sz w:val="32"/>
          <w:szCs w:val="32"/>
        </w:rPr>
      </w:pPr>
      <w:r>
        <w:rPr>
          <w:rFonts w:hint="eastAsia" w:ascii="楷体_GB2312" w:hAnsi="楷体_GB2312" w:eastAsia="楷体_GB2312" w:cs="楷体_GB2312"/>
          <w:b w:val="0"/>
          <w:bCs/>
          <w:spacing w:val="-4"/>
          <w:sz w:val="32"/>
          <w:szCs w:val="32"/>
        </w:rPr>
        <w:t>（四）项目效益情况。</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项目实施有效促进全区能源资源消耗水平降低、有效促进我区经济社会可持续发展，服务对象满意度为100%，该指标不扣分，得20分。</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1.实施效益指标：</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对于“社会效益指标”：</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经初步测算，扣除原料用能和可再生能源消费后，我区2025年单位GDP能耗强度预估降低4%以上，为完成“十四五”国家下达我区能耗强度降低目标任务奠定良好基础。项目的实施，为我区能源资源消耗水平持续降低、经济社会可持续发展提供了有力基础。该指标不扣分，得10分。</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对于满意度指标：各受益项目单位满意度100%，与预期目标一致，根据评分标准，该指标不扣分,得10分。</w:t>
      </w:r>
    </w:p>
    <w:p>
      <w:pPr>
        <w:spacing w:line="540" w:lineRule="exact"/>
        <w:ind w:firstLine="640"/>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lang w:eastAsia="zh-CN"/>
        </w:rPr>
        <w:t>五</w:t>
      </w:r>
      <w:r>
        <w:rPr>
          <w:rStyle w:val="18"/>
          <w:rFonts w:hint="eastAsia" w:ascii="黑体" w:hAnsi="黑体" w:eastAsia="黑体" w:cs="黑体"/>
          <w:b w:val="0"/>
          <w:bCs/>
          <w:spacing w:val="-4"/>
          <w:sz w:val="32"/>
          <w:szCs w:val="32"/>
        </w:rPr>
        <w:t>、主要经验及做法、存在的问题及原因分析</w:t>
      </w:r>
    </w:p>
    <w:p>
      <w:pPr>
        <w:spacing w:line="540" w:lineRule="exact"/>
        <w:ind w:firstLine="626" w:firstLineChars="200"/>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bCs w:val="0"/>
          <w:spacing w:val="-4"/>
          <w:sz w:val="32"/>
          <w:szCs w:val="32"/>
        </w:rPr>
        <w:t>一</w:t>
      </w:r>
      <w:r>
        <w:rPr>
          <w:rStyle w:val="18"/>
          <w:rFonts w:hint="default" w:ascii="Times New Roman" w:hAnsi="Times New Roman" w:eastAsia="仿宋_GB2312" w:cs="Times New Roman"/>
          <w:b w:val="0"/>
          <w:bCs/>
          <w:spacing w:val="-4"/>
          <w:sz w:val="32"/>
          <w:szCs w:val="32"/>
        </w:rPr>
        <w:t>是本项目能够严格按照《自治区节能减排专项资金暂行管理办法》执行，项目执行情况较好。</w:t>
      </w:r>
      <w:r>
        <w:rPr>
          <w:rStyle w:val="18"/>
          <w:rFonts w:hint="default" w:ascii="Times New Roman" w:hAnsi="Times New Roman" w:eastAsia="仿宋_GB2312" w:cs="Times New Roman"/>
          <w:b/>
          <w:bCs w:val="0"/>
          <w:spacing w:val="-4"/>
          <w:sz w:val="32"/>
          <w:szCs w:val="32"/>
        </w:rPr>
        <w:t>二是</w:t>
      </w:r>
      <w:r>
        <w:rPr>
          <w:rStyle w:val="18"/>
          <w:rFonts w:hint="default" w:ascii="Times New Roman" w:hAnsi="Times New Roman" w:eastAsia="仿宋_GB2312" w:cs="Times New Roman"/>
          <w:b w:val="0"/>
          <w:bCs/>
          <w:spacing w:val="-4"/>
          <w:sz w:val="32"/>
          <w:szCs w:val="32"/>
        </w:rPr>
        <w:t>加强组织领导，本项目绩效评价工作，由负责处室处长挂帅，分管副处长具体负责，从项目到资金，均能够很好的执行</w:t>
      </w:r>
      <w:r>
        <w:rPr>
          <w:rStyle w:val="18"/>
          <w:rFonts w:hint="default" w:ascii="Times New Roman" w:hAnsi="Times New Roman" w:eastAsia="仿宋_GB2312" w:cs="Times New Roman"/>
          <w:b/>
          <w:bCs w:val="0"/>
          <w:spacing w:val="-4"/>
          <w:sz w:val="32"/>
          <w:szCs w:val="32"/>
        </w:rPr>
        <w:t>。</w:t>
      </w:r>
      <w:r>
        <w:rPr>
          <w:rStyle w:val="18"/>
          <w:rFonts w:hint="default" w:ascii="Times New Roman" w:hAnsi="Times New Roman" w:eastAsia="仿宋_GB2312" w:cs="Times New Roman"/>
          <w:b/>
          <w:bCs w:val="0"/>
          <w:spacing w:val="-4"/>
          <w:sz w:val="32"/>
          <w:szCs w:val="32"/>
        </w:rPr>
        <w:t>三是</w:t>
      </w:r>
      <w:r>
        <w:rPr>
          <w:rStyle w:val="18"/>
          <w:rFonts w:hint="default" w:ascii="Times New Roman" w:hAnsi="Times New Roman" w:eastAsia="仿宋_GB2312" w:cs="Times New Roman"/>
          <w:b w:val="0"/>
          <w:bCs/>
          <w:spacing w:val="-4"/>
          <w:sz w:val="32"/>
          <w:szCs w:val="32"/>
        </w:rPr>
        <w:t>加强沟通协调，我单位加强与各资金使用单位的沟通，及时对接协调推进项目进度，确保项目按期完工。</w:t>
      </w:r>
    </w:p>
    <w:p>
      <w:pPr>
        <w:ind w:firstLine="624" w:firstLineChars="200"/>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lang w:eastAsia="zh-CN"/>
        </w:rPr>
        <w:t>六</w:t>
      </w:r>
      <w:r>
        <w:rPr>
          <w:rStyle w:val="18"/>
          <w:rFonts w:hint="eastAsia" w:ascii="黑体" w:hAnsi="黑体" w:eastAsia="黑体" w:cs="黑体"/>
          <w:b w:val="0"/>
          <w:bCs/>
          <w:spacing w:val="-4"/>
          <w:sz w:val="32"/>
          <w:szCs w:val="32"/>
        </w:rPr>
        <w:t>、有关建议</w:t>
      </w:r>
    </w:p>
    <w:p>
      <w:pPr>
        <w:spacing w:line="540" w:lineRule="exact"/>
        <w:ind w:firstLine="624" w:firstLineChars="200"/>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对于跨年实施项目，建议适当对绩效评价工作开展的时间向后调整。</w:t>
      </w:r>
    </w:p>
    <w:p>
      <w:pPr>
        <w:spacing w:line="540" w:lineRule="exact"/>
        <w:ind w:firstLine="567"/>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lang w:eastAsia="zh-CN"/>
        </w:rPr>
        <w:t>七</w:t>
      </w:r>
      <w:r>
        <w:rPr>
          <w:rStyle w:val="18"/>
          <w:rFonts w:hint="eastAsia" w:ascii="黑体" w:hAnsi="黑体" w:eastAsia="黑体" w:cs="黑体"/>
          <w:b w:val="0"/>
          <w:bCs/>
          <w:spacing w:val="-4"/>
          <w:sz w:val="32"/>
          <w:szCs w:val="32"/>
        </w:rPr>
        <w:t>、其他需要说明的问题</w:t>
      </w:r>
    </w:p>
    <w:p>
      <w:pPr>
        <w:spacing w:line="540" w:lineRule="exact"/>
        <w:ind w:firstLine="624" w:firstLineChars="200"/>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无</w:t>
      </w:r>
    </w:p>
    <w:p>
      <w:pPr>
        <w:spacing w:line="540" w:lineRule="exact"/>
        <w:ind w:firstLine="567"/>
        <w:rPr>
          <w:rStyle w:val="18"/>
          <w:rFonts w:hint="default" w:ascii="Times New Roman" w:hAnsi="Times New Roman" w:eastAsia="仿宋_GB2312" w:cs="Times New Roman"/>
          <w:b w:val="0"/>
          <w:spacing w:val="-4"/>
          <w:sz w:val="32"/>
          <w:szCs w:val="32"/>
        </w:rPr>
      </w:pPr>
    </w:p>
    <w:p>
      <w:pPr>
        <w:spacing w:line="540" w:lineRule="exact"/>
        <w:ind w:firstLine="567"/>
        <w:rPr>
          <w:rStyle w:val="18"/>
          <w:rFonts w:hint="default" w:ascii="Times New Roman" w:hAnsi="Times New Roman" w:eastAsia="仿宋_GB2312" w:cs="Times New Roman"/>
          <w:b w:val="0"/>
          <w:spacing w:val="-4"/>
          <w:sz w:val="32"/>
          <w:szCs w:val="32"/>
        </w:rPr>
      </w:pPr>
    </w:p>
    <w:p>
      <w:pPr>
        <w:spacing w:line="540" w:lineRule="exact"/>
        <w:ind w:firstLine="567"/>
        <w:rPr>
          <w:rStyle w:val="18"/>
          <w:rFonts w:hint="default" w:ascii="Times New Roman" w:hAnsi="Times New Roman" w:eastAsia="仿宋_GB2312" w:cs="Times New Roman"/>
          <w:b w:val="0"/>
          <w:spacing w:val="-4"/>
          <w:sz w:val="32"/>
          <w:szCs w:val="32"/>
        </w:rPr>
      </w:pPr>
    </w:p>
    <w:p>
      <w:pPr>
        <w:spacing w:line="540" w:lineRule="exact"/>
        <w:ind w:firstLine="567"/>
        <w:rPr>
          <w:rStyle w:val="18"/>
          <w:rFonts w:hint="default" w:ascii="Times New Roman" w:hAnsi="Times New Roman" w:eastAsia="仿宋_GB2312" w:cs="Times New Roman"/>
          <w:b w:val="0"/>
          <w:spacing w:val="-4"/>
          <w:sz w:val="32"/>
          <w:szCs w:val="32"/>
        </w:rPr>
      </w:pPr>
    </w:p>
    <w:p>
      <w:pPr>
        <w:spacing w:line="540" w:lineRule="exact"/>
        <w:ind w:firstLine="567"/>
        <w:rPr>
          <w:rStyle w:val="18"/>
          <w:rFonts w:hint="default" w:ascii="Times New Roman" w:hAnsi="Times New Roman" w:eastAsia="仿宋_GB2312" w:cs="Times New Roman"/>
          <w:b w:val="0"/>
          <w:spacing w:val="-4"/>
          <w:sz w:val="32"/>
          <w:szCs w:val="32"/>
        </w:rPr>
      </w:pPr>
    </w:p>
    <w:p>
      <w:pPr>
        <w:spacing w:line="540" w:lineRule="exact"/>
        <w:ind w:firstLine="567"/>
        <w:rPr>
          <w:rStyle w:val="18"/>
          <w:rFonts w:hint="default" w:ascii="Times New Roman" w:hAnsi="Times New Roman" w:eastAsia="仿宋_GB2312" w:cs="Times New Roman"/>
          <w:b w:val="0"/>
          <w:spacing w:val="-4"/>
          <w:sz w:val="32"/>
          <w:szCs w:val="32"/>
        </w:rPr>
      </w:pPr>
    </w:p>
    <w:p>
      <w:pPr>
        <w:spacing w:line="540" w:lineRule="exact"/>
        <w:ind w:firstLine="567"/>
        <w:rPr>
          <w:rStyle w:val="18"/>
          <w:rFonts w:hint="default" w:ascii="Times New Roman" w:hAnsi="Times New Roman" w:eastAsia="仿宋_GB2312" w:cs="Times New Roman"/>
          <w:b w:val="0"/>
          <w:spacing w:val="-4"/>
          <w:sz w:val="32"/>
          <w:szCs w:val="32"/>
        </w:rPr>
      </w:pPr>
    </w:p>
    <w:p>
      <w:pPr>
        <w:spacing w:line="540" w:lineRule="exact"/>
        <w:ind w:firstLine="567"/>
        <w:rPr>
          <w:rStyle w:val="18"/>
          <w:rFonts w:hint="default" w:ascii="Times New Roman" w:hAnsi="Times New Roman" w:eastAsia="仿宋_GB2312" w:cs="Times New Roman"/>
          <w:b w:val="0"/>
          <w:spacing w:val="-4"/>
          <w:sz w:val="32"/>
          <w:szCs w:val="32"/>
        </w:rPr>
      </w:pPr>
    </w:p>
    <w:p>
      <w:pPr>
        <w:spacing w:line="540" w:lineRule="exact"/>
        <w:ind w:firstLine="567"/>
        <w:rPr>
          <w:rStyle w:val="18"/>
          <w:rFonts w:hint="default" w:ascii="Times New Roman" w:hAnsi="Times New Roman" w:eastAsia="仿宋_GB2312" w:cs="Times New Roman"/>
          <w:b w:val="0"/>
          <w:spacing w:val="-4"/>
          <w:sz w:val="32"/>
          <w:szCs w:val="32"/>
        </w:rPr>
      </w:pPr>
    </w:p>
    <w:p>
      <w:pPr>
        <w:spacing w:line="540" w:lineRule="exact"/>
        <w:ind w:firstLine="567"/>
        <w:rPr>
          <w:rStyle w:val="18"/>
          <w:rFonts w:hint="default" w:ascii="Times New Roman" w:hAnsi="Times New Roman" w:eastAsia="仿宋_GB2312" w:cs="Times New Roman"/>
          <w:b w:val="0"/>
          <w:spacing w:val="-4"/>
          <w:sz w:val="32"/>
          <w:szCs w:val="32"/>
        </w:rPr>
      </w:pPr>
    </w:p>
    <w:p>
      <w:pPr>
        <w:spacing w:line="540" w:lineRule="exact"/>
        <w:ind w:firstLine="567"/>
        <w:rPr>
          <w:rStyle w:val="18"/>
          <w:rFonts w:hint="default" w:ascii="Times New Roman" w:hAnsi="Times New Roman" w:eastAsia="仿宋_GB2312" w:cs="Times New Roman"/>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928" w:right="1558" w:bottom="1701"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Noto Sans CJK JP Bold">
    <w:panose1 w:val="020B0800000000000000"/>
    <w:charset w:val="86"/>
    <w:family w:val="auto"/>
    <w:pitch w:val="default"/>
    <w:sig w:usb0="30000003" w:usb1="2BDF3C10" w:usb2="00000016" w:usb3="00000000" w:csb0="602E0107"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">
              <v:fill on="f" focussize="0,0"/>
              <v:stroke on="f" weight="0.5pt"/>
              <v:imagedata o:title=""/>
              <o:lock v:ext="edit" aspectratio="f"/>
              <v:textbox inset="0mm,0mm,0mm,0mm" style="mso-fit-shape-to-text:t;">
                <w:txbxContent>
                  <w:p>
                    <w:pPr>
                      <w:pStyle w:val="1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228D4660"/>
    <w:rsid w:val="4C3D1751"/>
    <w:rsid w:val="4D2606A1"/>
    <w:rsid w:val="6A77A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4972</Words>
  <Characters>5125</Characters>
  <Lines>5</Lines>
  <Paragraphs>1</Paragraphs>
  <TotalTime>1</TotalTime>
  <ScaleCrop>false</ScaleCrop>
  <LinksUpToDate>false</LinksUpToDate>
  <CharactersWithSpaces>5147</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2018-08-15T10:06:00Z</dcterms:created>
  <dc:creator>赵 恺（预算处）</dc:creator>
  <cp:lastModifiedBy>fgw</cp:lastModifiedBy>
  <cp:lastPrinted>2018-12-31T18:56:00Z</cp:lastPrinted>
  <dcterms:modified xsi:type="dcterms:W3CDTF">2026-08-26T20:01:54Z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ICV">
    <vt:lpwstr>45F50738BE584E62BB0B31B59086EE94_13</vt:lpwstr>
  </property>
  <property fmtid="{D5CDD505-2E9C-101B-9397-08002B2CF9AE}" pid="4" name="KSOTemplateDocerSaveRecord">
    <vt:lpwstr>eyJoZGlkIjoiODZhYzIwZDcyMmZiZDI3YjJjMTZiYzhkZDYyODMwZTIifQ==</vt:lpwstr>
  </property>
</Properties>
</file>