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8AA2E">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CB9CDDF">
      <w:pPr>
        <w:spacing w:line="540" w:lineRule="exact"/>
        <w:jc w:val="center"/>
        <w:rPr>
          <w:rFonts w:ascii="华文中宋" w:hAnsi="华文中宋" w:eastAsia="华文中宋" w:cs="宋体"/>
          <w:b/>
          <w:kern w:val="0"/>
          <w:sz w:val="52"/>
          <w:szCs w:val="52"/>
        </w:rPr>
      </w:pPr>
    </w:p>
    <w:p w14:paraId="4FC20E75">
      <w:pPr>
        <w:spacing w:line="540" w:lineRule="exact"/>
        <w:jc w:val="center"/>
        <w:rPr>
          <w:rFonts w:ascii="华文中宋" w:hAnsi="华文中宋" w:eastAsia="华文中宋" w:cs="宋体"/>
          <w:b/>
          <w:kern w:val="0"/>
          <w:sz w:val="52"/>
          <w:szCs w:val="52"/>
        </w:rPr>
      </w:pPr>
    </w:p>
    <w:p w14:paraId="089ABDDD">
      <w:pPr>
        <w:spacing w:line="540" w:lineRule="exact"/>
        <w:jc w:val="center"/>
        <w:rPr>
          <w:rFonts w:ascii="华文中宋" w:hAnsi="华文中宋" w:eastAsia="华文中宋" w:cs="宋体"/>
          <w:b/>
          <w:kern w:val="0"/>
          <w:sz w:val="52"/>
          <w:szCs w:val="52"/>
        </w:rPr>
      </w:pPr>
    </w:p>
    <w:p w14:paraId="59F77500">
      <w:pPr>
        <w:spacing w:line="540" w:lineRule="exact"/>
        <w:jc w:val="center"/>
        <w:rPr>
          <w:rFonts w:ascii="华文中宋" w:hAnsi="华文中宋" w:eastAsia="华文中宋" w:cs="宋体"/>
          <w:b/>
          <w:kern w:val="0"/>
          <w:sz w:val="52"/>
          <w:szCs w:val="52"/>
        </w:rPr>
      </w:pPr>
    </w:p>
    <w:p w14:paraId="01AD4C98">
      <w:pPr>
        <w:spacing w:line="540" w:lineRule="exact"/>
        <w:jc w:val="center"/>
        <w:rPr>
          <w:rFonts w:ascii="华文中宋" w:hAnsi="华文中宋" w:eastAsia="华文中宋" w:cs="宋体"/>
          <w:b/>
          <w:kern w:val="0"/>
          <w:sz w:val="52"/>
          <w:szCs w:val="52"/>
        </w:rPr>
      </w:pPr>
    </w:p>
    <w:p w14:paraId="4D48C03F">
      <w:pPr>
        <w:spacing w:line="540" w:lineRule="exact"/>
        <w:jc w:val="center"/>
        <w:rPr>
          <w:rFonts w:ascii="华文中宋" w:hAnsi="华文中宋" w:eastAsia="华文中宋" w:cs="宋体"/>
          <w:b/>
          <w:kern w:val="0"/>
          <w:sz w:val="52"/>
          <w:szCs w:val="52"/>
        </w:rPr>
      </w:pPr>
    </w:p>
    <w:p w14:paraId="3654B34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21404AF0">
      <w:pPr>
        <w:spacing w:line="540" w:lineRule="exact"/>
        <w:jc w:val="center"/>
        <w:rPr>
          <w:rFonts w:ascii="华文中宋" w:hAnsi="华文中宋" w:eastAsia="华文中宋" w:cs="宋体"/>
          <w:b/>
          <w:kern w:val="0"/>
          <w:sz w:val="52"/>
          <w:szCs w:val="52"/>
        </w:rPr>
      </w:pPr>
    </w:p>
    <w:p w14:paraId="1BD513DA">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3DDFA9B3">
      <w:pPr>
        <w:spacing w:line="540" w:lineRule="exact"/>
        <w:jc w:val="center"/>
        <w:rPr>
          <w:rFonts w:hAnsi="宋体" w:eastAsia="仿宋_GB2312" w:cs="宋体"/>
          <w:kern w:val="0"/>
          <w:sz w:val="30"/>
          <w:szCs w:val="30"/>
        </w:rPr>
      </w:pPr>
    </w:p>
    <w:p w14:paraId="0B1FDFDE">
      <w:pPr>
        <w:spacing w:line="540" w:lineRule="exact"/>
        <w:jc w:val="center"/>
        <w:rPr>
          <w:rFonts w:hAnsi="宋体" w:eastAsia="仿宋_GB2312" w:cs="宋体"/>
          <w:kern w:val="0"/>
          <w:sz w:val="30"/>
          <w:szCs w:val="30"/>
        </w:rPr>
      </w:pPr>
    </w:p>
    <w:p w14:paraId="2EEFFD97">
      <w:pPr>
        <w:spacing w:line="540" w:lineRule="exact"/>
        <w:jc w:val="center"/>
        <w:rPr>
          <w:rFonts w:hAnsi="宋体" w:eastAsia="仿宋_GB2312" w:cs="宋体"/>
          <w:kern w:val="0"/>
          <w:sz w:val="30"/>
          <w:szCs w:val="30"/>
        </w:rPr>
      </w:pPr>
    </w:p>
    <w:p w14:paraId="21EA27BF">
      <w:pPr>
        <w:spacing w:line="540" w:lineRule="exact"/>
        <w:jc w:val="center"/>
        <w:rPr>
          <w:rFonts w:hAnsi="宋体" w:eastAsia="仿宋_GB2312" w:cs="宋体"/>
          <w:kern w:val="0"/>
          <w:sz w:val="30"/>
          <w:szCs w:val="30"/>
        </w:rPr>
      </w:pPr>
    </w:p>
    <w:p w14:paraId="31762A4A">
      <w:pPr>
        <w:spacing w:line="540" w:lineRule="exact"/>
        <w:jc w:val="center"/>
        <w:rPr>
          <w:rFonts w:hAnsi="宋体" w:eastAsia="仿宋_GB2312" w:cs="宋体"/>
          <w:kern w:val="0"/>
          <w:sz w:val="30"/>
          <w:szCs w:val="30"/>
        </w:rPr>
      </w:pPr>
    </w:p>
    <w:p w14:paraId="0CF1743A">
      <w:pPr>
        <w:spacing w:line="540" w:lineRule="exact"/>
        <w:jc w:val="center"/>
        <w:rPr>
          <w:rFonts w:hAnsi="宋体" w:eastAsia="仿宋_GB2312" w:cs="宋体"/>
          <w:kern w:val="0"/>
          <w:sz w:val="30"/>
          <w:szCs w:val="30"/>
        </w:rPr>
      </w:pPr>
    </w:p>
    <w:p w14:paraId="36C4530D">
      <w:pPr>
        <w:spacing w:line="540" w:lineRule="exact"/>
        <w:rPr>
          <w:rFonts w:hAnsi="宋体" w:eastAsia="仿宋_GB2312" w:cs="宋体"/>
          <w:kern w:val="0"/>
          <w:sz w:val="30"/>
          <w:szCs w:val="30"/>
        </w:rPr>
      </w:pPr>
    </w:p>
    <w:p w14:paraId="09A11F9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AD4E9B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2025年全社会节能减排资金</w:t>
      </w:r>
    </w:p>
    <w:p w14:paraId="176FE4E2">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新疆维吾尔自治区发展和改革委员会</w:t>
      </w:r>
    </w:p>
    <w:p w14:paraId="196EB21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新疆维吾尔自治区发展和改革委员会</w:t>
      </w:r>
    </w:p>
    <w:p w14:paraId="6689E91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吴铁城</w:t>
      </w:r>
    </w:p>
    <w:p w14:paraId="3FA30512">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2026年04月13日</w:t>
      </w:r>
    </w:p>
    <w:p w14:paraId="04E68097">
      <w:pPr>
        <w:spacing w:line="700" w:lineRule="exact"/>
        <w:ind w:firstLine="708" w:firstLineChars="236"/>
        <w:jc w:val="left"/>
        <w:rPr>
          <w:rFonts w:hAnsi="宋体" w:eastAsia="仿宋_GB2312" w:cs="宋体"/>
          <w:kern w:val="0"/>
          <w:sz w:val="30"/>
          <w:szCs w:val="30"/>
        </w:rPr>
      </w:pPr>
    </w:p>
    <w:p w14:paraId="467CAAB0">
      <w:pPr>
        <w:spacing w:line="540" w:lineRule="exact"/>
        <w:rPr>
          <w:rStyle w:val="18"/>
          <w:rFonts w:ascii="黑体" w:hAnsi="黑体" w:eastAsia="黑体"/>
          <w:b w:val="0"/>
          <w:spacing w:val="-4"/>
          <w:sz w:val="32"/>
          <w:szCs w:val="32"/>
        </w:rPr>
      </w:pPr>
    </w:p>
    <w:p w14:paraId="666EA35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18E490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17C7C81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项目遵循财政部《项目支出绩效评价管理办法》（财预〔2020〕10号）和自治区财政厅《自治区财政支出绩效评价管理暂行办法》（新财预〔2018〕189号）《中华人民共和国节约能源法》《新疆维吾尔自治区实施〈中华人民共和国节约能源法〉办法》和《新疆维吾尔自治区节能减排专项资金管理暂行办法》等相关政策文件与规定，按照国家和自治区关于年度节能工作及碳达峰碳中和重点工作部署，结合年度工作重点、资金支持规模以及各单位项目申报情况，会同有关部门做好统筹协调安排节能减排项目，申请财政拨付自治区全社会节能减排专项资金4500万元。</w:t>
      </w:r>
    </w:p>
    <w:p w14:paraId="6A378AF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50B8F6F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通过实施节能降碳示范、节能能力建设和节能宣传等项目，进一步推进建筑、交通等重点领域节能降碳改造示范，加强节能降碳政策体系研究完善，加快降碳技术推广应用，不断提高能源利用效率，提升节能管理水平，促进绿色低碳高质量发展，助力实现碳达峰、碳中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前期准备：项目实施前期按照国家和自治区关于年度节能工作及碳达峰碳中和工作部署，根据年度重点工作和自治区节能减排专项资金管理相关要求，研究提出年度节能减排专项资金申报方向，制定申报指南，会同自治区财政厅组织相关单位和地州发展改革委开展项目申报工作，经筛选复核并按程序确定2025年度全社会节能减排专项资金项目计划。</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组织实施：督促各项目单位严格落实投资计划执行和项目管理的主体责任，严格按投资计划组织实施，及时准确上报进度数据和信息，自觉接受各级监管部门监督检查。在资金管理方面，项目资金到位足额及时支付，资金使用符合国家法规和财务管理制度，不截留、挤占、挪用、虚列支出。项目支出手续完备，项目资料齐全并及时归档。同时注重建立长效机制，着眼项目长期效益的发挥。</w:t>
      </w:r>
    </w:p>
    <w:p w14:paraId="41006C0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228E548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6E707D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本次绩效评价旨在评价财政项目实施前期、过程及效果，评价财政预算资金使用的效率及效益；发现预算资金在制定投资计划、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2.绩效评价对象。本次绩效评价以2025年全社会节能减排专项资金项目支出对象所对应的预算资金，以项目实施所带来的产出和效果为主要内容，以促进预算单位完成特定工作任务目标所组织开展的绩效评价。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本次评价范围涵盖项目总体绩效目标、各项绩效指标完成情况以及预算执行情况。覆盖项目预算资金支出的所有内容进行评价。包括项目决策、过程、项目实施和项目成果验收流程、项目达到的效益等。</w:t>
      </w:r>
    </w:p>
    <w:p w14:paraId="46F1078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5745D7D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（2）统筹兼顾。组织相关单位开展自评，单位自评的基础上开展部门评价。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（3）激励约束。将绩效评价结果与预算安排、政策调整、改进管理实质性挂钩，体现奖优罚劣和激励相容导向。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 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一级指标为：决策、产出、效益、满意度。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二级指标为：数量指标、质量指标、质量指标、时效指标、生态效指标、满意度指标。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三级指标为：实施项目数量、资金使用合规率、验收合格率、按计划开工率、资金到位及时率、能源资源消耗水平、资金使用单位人员满意情况。</w:t>
      </w:r>
    </w:p>
    <w:p w14:paraId="5D348A4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3582EA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吴铁城任评价组组长，绩效评价工作职责为负责全盘工作。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程鹏隽任评价组副组长，绩效评价工作职责对项目实施情况进行实地调查，指导指标完成情况分析。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叶尔生任评价组成员，绩效评价工作职责为负责资料审核、撰写报告等工作。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王晓刚任评价组成员，绩效评价工作职责为负责组织各单位自评、归集档案等工作。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经评价组通过实地调研、查阅资料等方式，采用综合分析法对项目的决策、管理、绩效进行的综合评价分析。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项目撰写绩效评价报告，按照财政部门大平台绩效系统中统一格式和文本框架撰写绩效评价报告。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14:paraId="652C6332">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720BB221">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 xml:space="preserve">2025年全社会节能减排专项资金项目总体组织规范，完成了项目实施的各项工作目标，规范了项目档案资料整理，持续推动我区公共机构节能改造、推进建筑、交通领域低碳项目示范、进一步完善了节能降碳政策体系、推进节能统计能力建设，节能减排工作取得积极进展，不断降低能源资源消耗水平，助力实现我区碳达峰碳中和任务目标。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在项目决策方面，通过各有关单位提出项目建设需求，自治区交通、住建、机关事务管理局初审推荐，结合国家和自治区关于年度节能工作及碳达峰碳中和重点工作安排部署，坚持集体决策，经过专题会议研究，项目计划制定依据充分，程序规范。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管理方面，2025年本项目预算安排4500万元，截至目前实际执行4500万元，预算执行率100%。项目资金使用合规，项目财务管理制度健全，财务监控到位，所有资金支付均按照国库集中支付制度严格执行，现有项目管理制度执行情况良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项目产出方面，2025年本项目投资计划安排实施24个项目，跨年实施项目正在有序推进，年内实施项目已完工，实际实施项目产出数量和覆盖部门及地州达到预期效果。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方面：经初步测算，扣除原料用能和可再生能源消费后，我区2025年单位GDP能耗强度预估降低4%以上，为完成“十四五”国家下达我区能耗强度降低目标任务奠定良好基础。项目的实施，为我区能源资源消耗水平持续降低、经济社会可持续发展提供有力保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合评价结论：运用项目组制定评价指标体系及财政部《项目支出绩效评价管理办法》（财预〔2020〕10号）文件评分标准进行评价，该项目最终评分100分，绩效评级为“优”，具体得分情况为：项目决策20分、项目过程20分、项目产出30分、项目效益30分。</w:t>
      </w:r>
    </w:p>
    <w:p w14:paraId="220F0D20">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1C37D18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18F04D4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项目决策类指标包括项目立项、绩效目标和资金投入三方面的内容，由6个三级指标构成，权重分为 20 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为深入推进节能减排工作，确保我区节能减排总体目标任务取得积极进展，根据《中华人民共和国节约能源法》、《新疆维吾尔自治区实施〈中华人民共和国节约能源法〉办法》，自治区设立节能减排专项资金，并制定《新疆维吾尔自治区节能减排专项资金管理暂行办法》，项目立项依据充分。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按照《新疆维吾尔自治区节能减排专项资金管理暂行办法》，自治区发展改革委统筹安排全社会节能减排资金，通过各有关单位提出项目建设需求、结合国家和自治区关于节能工作和碳达峰碳中和重点工作安排部署，坚持集体决策，经过专题会议研究，项目计划制定程序规范。根据评分标准，该指标不扣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3.绩效目标合理性：充分结合计划项目的实施目的，合理确定项目绩效目标。根据评分标准，该指标不扣分，得3分。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4.绩效指标明确性：项目计划明确了总体目标，并对任务进行了分解，对目标进行了细化。根据评分标准，该指标不扣分，得2分。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按照《中华人民共和国节约能源法》、《新疆维吾尔自治区实施〈中华人民共和国节约能源法〉办法》关于县级以上人民政府设立节能减排专项资金的要求，根据自治区节能减排成员单位工作任务，设立自治区节能减排专项资金，内容与项目内容匹配，项目投资额与工作任务相匹配，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2025年自治区全社会节能减排专项资金按照突出重点工作，兼顾基础能力支撑；突出重点领域，强化节能示范作用；突出安排标准，确保资金计划科学合理的原则，统筹考虑住建、交通、公共机构等领域年度节能减排工作重点，参照节能减碳中央预算内投资补助标准，制定申报指南，结合各相关部门的项目申报情况，拟定年度专项资金计划方案。资金分配与实际相适应，根据评分标准，该指标不扣分，得2分。</w:t>
      </w:r>
    </w:p>
    <w:p w14:paraId="5D07BD6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6AF99E4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 5个三级指标构成，权重分为20分，实际得分20分，得分率为100%。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1.资金到位率：财政资金足额拨付到位，牵头单位能够及时足额按照合同约定将专项资金拨付给项目单位，根据评分标准，该指标不扣分，得2分。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2.预算执行率：预算编制详细，项目资金支出能够按照预算执行。项目到位资金4500万元，执行资金4500万元，执行率100%。根据评分标准，该指标不扣分，得5分。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3.资金使用合规性：制定了相关的制度和管理规定对经费使用进行规范管理，财务制度健全、执行严格，根据评分标准，该指标不扣分，得5分。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4.管理制度健全性：自治区已制定了自治区节能减排资金管理办法，对财政专项资金进行严格管理，做到了专款专用，根据评分标准，该指标不扣分，得4分。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按照自治区节能减排专项资金暂行管理办法，由机关事务、住建、交通等行业部门和各地发展改革委及相关单位提出资金使用申请，结合国家和自治区关于节能工作和碳达峰碳中和重点工作安排部署，经审核筛选拟定计划方案，并报请委党组审议通过，下达实施。加强对计划项目的监管，按期对资金使用效果进行自评，根据评分标准，该指标不扣分，得4分。</w:t>
      </w:r>
    </w:p>
    <w:p w14:paraId="019EA4A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5942797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项目产出类指标包括产出数量、产出质量、产出时效、产出成本四方面的内容，由5个三级指标构成，权重分为40分，实际得分40分。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1.对于“产出数量”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项目预期实施数量目标为不少于24个节能减排项目，实际在资金计划下达中安排24个项目，与预期目标一致，根据评分标准，该指标不扣分，得10分。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2.对于“产出质量”：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已完工项目验收合格率100%，与预期目标一致，根据评分标准，该指标不扣分，得5分；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资金使用合格率为100%，与与预期目标一致，根据评分标准，该指标不扣分，得5分。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合计得分10分。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3.对于“产出时效”：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资金及时到位率为100%，与预期目标指标一致，根据评分标准，该指标不扣分，得5分。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项目按计划开工率为100%，预期目标90%，根据评分标准，该指标不扣分，得5分。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4.对于“产出成本”：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本专项资金4500万元，项目经费都能控制专项经费安排资金范围内，根据评分标准，该指标不扣分，得10分。</w:t>
      </w:r>
    </w:p>
    <w:p w14:paraId="46D841C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4A9BAFC9">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项目实施有效促进全区能源资源消耗水平降低、有效促进我区经济社会可持续发展，服务对象满意度为100%，该指标不扣分，得20分。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对于“社会效益指标”：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初步测算，扣除原料用能和可再生能源消费后，我区2025年单位GDP能耗强度预估降低4%以上，为完成“十四五”国家下达我区能耗强度降低目标任务奠定良好基础。项目的实施，为我区能源资源消耗水平持续降低、经济社会可持续发展提供了有力基础。该指标不扣分，得10分。</w:t>
      </w:r>
    </w:p>
    <w:p w14:paraId="1146128A">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对于满意度指标：各受益项目单位满意度100%，与预期目标一致，根据评分标准，该指标不扣分,得10分。</w:t>
      </w:r>
    </w:p>
    <w:p w14:paraId="23C2AA02">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13602CB1">
      <w:pPr>
        <w:spacing w:line="540" w:lineRule="exact"/>
        <w:ind w:firstLine="627" w:firstLineChars="200"/>
        <w:rPr>
          <w:rStyle w:val="18"/>
          <w:rFonts w:ascii="楷体" w:hAnsi="楷体" w:eastAsia="楷体"/>
          <w:spacing w:val="-4"/>
          <w:sz w:val="32"/>
          <w:szCs w:val="32"/>
        </w:rPr>
      </w:pPr>
      <w:bookmarkStart w:id="0" w:name="_GoBack"/>
      <w:r>
        <w:rPr>
          <w:rStyle w:val="18"/>
          <w:rFonts w:hint="eastAsia" w:ascii="楷体" w:hAnsi="楷体" w:eastAsia="楷体"/>
          <w:spacing w:val="-4"/>
          <w:sz w:val="32"/>
          <w:szCs w:val="32"/>
        </w:rPr>
        <w:t>一是本项目能够严格按照《自治区节能减排专项资金暂行管理办法》执行，项目执行情况较好。二是加强组织领导，本项目绩效评价工作，由负责处室处长挂帅，分管副处长具体负责，从项目到资金，均能够很好的执行。三是加强沟通协调，我单位加强与各资金使用单位的沟通，及时对接协调推进项目进度，确保项目按期完工。</w:t>
      </w:r>
      <w:bookmarkEnd w:id="0"/>
    </w:p>
    <w:p w14:paraId="5053B107">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2F0FC960">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对于跨年实施项目，建议适当对绩效评价工作开展的时间向后调整。</w:t>
      </w:r>
    </w:p>
    <w:p w14:paraId="4F622121">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005CDD0F">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14:paraId="45220CE0">
      <w:pPr>
        <w:spacing w:line="540" w:lineRule="exact"/>
        <w:ind w:firstLine="567"/>
        <w:rPr>
          <w:rStyle w:val="18"/>
          <w:rFonts w:ascii="仿宋" w:hAnsi="仿宋" w:eastAsia="仿宋"/>
          <w:b w:val="0"/>
          <w:spacing w:val="-4"/>
          <w:sz w:val="32"/>
          <w:szCs w:val="32"/>
        </w:rPr>
      </w:pPr>
    </w:p>
    <w:p w14:paraId="04858723">
      <w:pPr>
        <w:spacing w:line="540" w:lineRule="exact"/>
        <w:ind w:firstLine="567"/>
        <w:rPr>
          <w:rStyle w:val="18"/>
          <w:rFonts w:ascii="仿宋" w:hAnsi="仿宋" w:eastAsia="仿宋"/>
          <w:b w:val="0"/>
          <w:spacing w:val="-4"/>
          <w:sz w:val="32"/>
          <w:szCs w:val="32"/>
        </w:rPr>
      </w:pPr>
    </w:p>
    <w:p w14:paraId="1DEA8F81">
      <w:pPr>
        <w:spacing w:line="540" w:lineRule="exact"/>
        <w:ind w:firstLine="567"/>
        <w:rPr>
          <w:rStyle w:val="18"/>
          <w:rFonts w:ascii="仿宋" w:hAnsi="仿宋" w:eastAsia="仿宋"/>
          <w:b w:val="0"/>
          <w:spacing w:val="-4"/>
          <w:sz w:val="32"/>
          <w:szCs w:val="32"/>
        </w:rPr>
      </w:pPr>
    </w:p>
    <w:p w14:paraId="06B1D732">
      <w:pPr>
        <w:spacing w:line="540" w:lineRule="exact"/>
        <w:ind w:firstLine="567"/>
        <w:rPr>
          <w:rStyle w:val="18"/>
          <w:rFonts w:ascii="仿宋" w:hAnsi="仿宋" w:eastAsia="仿宋"/>
          <w:b w:val="0"/>
          <w:spacing w:val="-4"/>
          <w:sz w:val="32"/>
          <w:szCs w:val="32"/>
        </w:rPr>
      </w:pPr>
    </w:p>
    <w:p w14:paraId="775CDF81">
      <w:pPr>
        <w:spacing w:line="540" w:lineRule="exact"/>
        <w:ind w:firstLine="567"/>
        <w:rPr>
          <w:rStyle w:val="18"/>
          <w:rFonts w:ascii="仿宋" w:hAnsi="仿宋" w:eastAsia="仿宋"/>
          <w:b w:val="0"/>
          <w:spacing w:val="-4"/>
          <w:sz w:val="32"/>
          <w:szCs w:val="32"/>
        </w:rPr>
      </w:pPr>
    </w:p>
    <w:p w14:paraId="357A4299">
      <w:pPr>
        <w:spacing w:line="540" w:lineRule="exact"/>
        <w:ind w:firstLine="567"/>
        <w:rPr>
          <w:rStyle w:val="18"/>
          <w:rFonts w:ascii="仿宋" w:hAnsi="仿宋" w:eastAsia="仿宋"/>
          <w:b w:val="0"/>
          <w:spacing w:val="-4"/>
          <w:sz w:val="32"/>
          <w:szCs w:val="32"/>
        </w:rPr>
      </w:pPr>
    </w:p>
    <w:p w14:paraId="3E3899C7">
      <w:pPr>
        <w:spacing w:line="540" w:lineRule="exact"/>
        <w:ind w:firstLine="567"/>
        <w:rPr>
          <w:rStyle w:val="18"/>
          <w:rFonts w:ascii="仿宋" w:hAnsi="仿宋" w:eastAsia="仿宋"/>
          <w:b w:val="0"/>
          <w:spacing w:val="-4"/>
          <w:sz w:val="32"/>
          <w:szCs w:val="32"/>
        </w:rPr>
      </w:pPr>
    </w:p>
    <w:p w14:paraId="7A8FD1F6">
      <w:pPr>
        <w:spacing w:line="540" w:lineRule="exact"/>
        <w:ind w:firstLine="567"/>
        <w:rPr>
          <w:rStyle w:val="18"/>
          <w:rFonts w:ascii="仿宋" w:hAnsi="仿宋" w:eastAsia="仿宋"/>
          <w:b w:val="0"/>
          <w:spacing w:val="-4"/>
          <w:sz w:val="32"/>
          <w:szCs w:val="32"/>
        </w:rPr>
      </w:pPr>
    </w:p>
    <w:p w14:paraId="74A26A9A">
      <w:pPr>
        <w:spacing w:line="540" w:lineRule="exact"/>
        <w:ind w:firstLine="567"/>
        <w:rPr>
          <w:rStyle w:val="18"/>
          <w:rFonts w:ascii="仿宋" w:hAnsi="仿宋" w:eastAsia="仿宋"/>
          <w:b w:val="0"/>
          <w:spacing w:val="-4"/>
          <w:sz w:val="32"/>
          <w:szCs w:val="32"/>
        </w:rPr>
      </w:pPr>
    </w:p>
    <w:p w14:paraId="4CCBE413">
      <w:pPr>
        <w:spacing w:line="540" w:lineRule="exact"/>
        <w:ind w:firstLine="567"/>
        <w:rPr>
          <w:rStyle w:val="18"/>
          <w:rFonts w:ascii="仿宋" w:hAnsi="仿宋" w:eastAsia="仿宋"/>
          <w:b w:val="0"/>
          <w:spacing w:val="-4"/>
          <w:sz w:val="32"/>
          <w:szCs w:val="32"/>
        </w:rPr>
      </w:pPr>
    </w:p>
    <w:p w14:paraId="432DF933">
      <w:pPr>
        <w:spacing w:line="540" w:lineRule="exact"/>
        <w:ind w:firstLine="567"/>
        <w:rPr>
          <w:rStyle w:val="18"/>
          <w:rFonts w:ascii="仿宋" w:hAnsi="仿宋" w:eastAsia="仿宋"/>
          <w:b w:val="0"/>
          <w:spacing w:val="-4"/>
          <w:sz w:val="32"/>
          <w:szCs w:val="32"/>
        </w:rPr>
      </w:pPr>
    </w:p>
    <w:p w14:paraId="11F07A42">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02545FCA">
        <w:pPr>
          <w:pStyle w:val="12"/>
          <w:jc w:val="center"/>
        </w:pPr>
        <w:r>
          <w:fldChar w:fldCharType="begin"/>
        </w:r>
        <w:r>
          <w:instrText xml:space="preserve">PAGE   \* MERGEFORMAT</w:instrText>
        </w:r>
        <w:r>
          <w:fldChar w:fldCharType="separate"/>
        </w:r>
        <w:r>
          <w:rPr>
            <w:lang w:val="zh-CN"/>
          </w:rPr>
          <w:t>1</w:t>
        </w:r>
        <w:r>
          <w:fldChar w:fldCharType="end"/>
        </w:r>
      </w:p>
    </w:sdtContent>
  </w:sdt>
  <w:p w14:paraId="262E9296">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228D4660"/>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4972</Words>
  <Characters>5125</Characters>
  <Lines>5</Lines>
  <Paragraphs>1</Paragraphs>
  <TotalTime>0</TotalTime>
  <ScaleCrop>false</ScaleCrop>
  <LinksUpToDate>false</LinksUpToDate>
  <CharactersWithSpaces>5147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2026-08-19T12:43:39Z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45F50738BE584E62BB0B31B59086EE94_13</vt:lpwstr>
  </property>
  <property fmtid="{D5CDD505-2E9C-101B-9397-08002B2CF9AE}" pid="4" name="KSOTemplateDocerSaveRecord">
    <vt:lpwstr>eyJoZGlkIjoiODZhYzIwZDcyMmZiZDI3YjJjMTZiYzhkZDYyODMwZTIifQ==</vt:lpwstr>
  </property>
</Properties>
</file>