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4F27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2CB4208">
      <w:pPr>
        <w:spacing w:line="540" w:lineRule="exact"/>
        <w:jc w:val="center"/>
        <w:rPr>
          <w:rFonts w:ascii="华文中宋" w:hAnsi="华文中宋" w:eastAsia="华文中宋" w:cs="宋体"/>
          <w:b/>
          <w:kern w:val="0"/>
          <w:sz w:val="52"/>
          <w:szCs w:val="52"/>
        </w:rPr>
      </w:pPr>
    </w:p>
    <w:p w14:paraId="1563ACB9">
      <w:pPr>
        <w:spacing w:line="540" w:lineRule="exact"/>
        <w:jc w:val="center"/>
        <w:rPr>
          <w:rFonts w:ascii="华文中宋" w:hAnsi="华文中宋" w:eastAsia="华文中宋" w:cs="宋体"/>
          <w:b/>
          <w:kern w:val="0"/>
          <w:sz w:val="52"/>
          <w:szCs w:val="52"/>
        </w:rPr>
      </w:pPr>
    </w:p>
    <w:p w14:paraId="2F740F1D">
      <w:pPr>
        <w:spacing w:line="540" w:lineRule="exact"/>
        <w:jc w:val="center"/>
        <w:rPr>
          <w:rFonts w:ascii="华文中宋" w:hAnsi="华文中宋" w:eastAsia="华文中宋" w:cs="宋体"/>
          <w:b/>
          <w:kern w:val="0"/>
          <w:sz w:val="52"/>
          <w:szCs w:val="52"/>
        </w:rPr>
      </w:pPr>
      <w:bookmarkStart w:id="0" w:name="_GoBack"/>
      <w:bookmarkEnd w:id="0"/>
    </w:p>
    <w:p w14:paraId="48FCBD14">
      <w:pPr>
        <w:spacing w:line="540" w:lineRule="exact"/>
        <w:jc w:val="center"/>
        <w:rPr>
          <w:rFonts w:ascii="华文中宋" w:hAnsi="华文中宋" w:eastAsia="华文中宋" w:cs="宋体"/>
          <w:b/>
          <w:kern w:val="0"/>
          <w:sz w:val="52"/>
          <w:szCs w:val="52"/>
        </w:rPr>
      </w:pPr>
    </w:p>
    <w:p w14:paraId="64567426">
      <w:pPr>
        <w:spacing w:line="540" w:lineRule="exact"/>
        <w:jc w:val="center"/>
        <w:rPr>
          <w:rFonts w:ascii="华文中宋" w:hAnsi="华文中宋" w:eastAsia="华文中宋" w:cs="宋体"/>
          <w:b/>
          <w:kern w:val="0"/>
          <w:sz w:val="52"/>
          <w:szCs w:val="52"/>
        </w:rPr>
      </w:pPr>
    </w:p>
    <w:p w14:paraId="1C1005A3">
      <w:pPr>
        <w:spacing w:line="540" w:lineRule="exact"/>
        <w:jc w:val="center"/>
        <w:rPr>
          <w:rFonts w:ascii="华文中宋" w:hAnsi="华文中宋" w:eastAsia="华文中宋" w:cs="宋体"/>
          <w:b/>
          <w:kern w:val="0"/>
          <w:sz w:val="52"/>
          <w:szCs w:val="52"/>
        </w:rPr>
      </w:pPr>
    </w:p>
    <w:p w14:paraId="1D9BCF9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31BAE6DC">
      <w:pPr>
        <w:spacing w:line="540" w:lineRule="exact"/>
        <w:jc w:val="center"/>
        <w:rPr>
          <w:rFonts w:ascii="华文中宋" w:hAnsi="华文中宋" w:eastAsia="华文中宋" w:cs="宋体"/>
          <w:b/>
          <w:kern w:val="0"/>
          <w:sz w:val="52"/>
          <w:szCs w:val="52"/>
        </w:rPr>
      </w:pPr>
    </w:p>
    <w:p w14:paraId="1F3D34A5">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5365F1D4">
      <w:pPr>
        <w:spacing w:line="540" w:lineRule="exact"/>
        <w:jc w:val="center"/>
        <w:rPr>
          <w:rFonts w:hAnsi="宋体" w:eastAsia="仿宋_GB2312" w:cs="宋体"/>
          <w:kern w:val="0"/>
          <w:sz w:val="30"/>
          <w:szCs w:val="30"/>
        </w:rPr>
      </w:pPr>
    </w:p>
    <w:p w14:paraId="36825F2F">
      <w:pPr>
        <w:spacing w:line="540" w:lineRule="exact"/>
        <w:jc w:val="center"/>
        <w:rPr>
          <w:rFonts w:hAnsi="宋体" w:eastAsia="仿宋_GB2312" w:cs="宋体"/>
          <w:kern w:val="0"/>
          <w:sz w:val="30"/>
          <w:szCs w:val="30"/>
        </w:rPr>
      </w:pPr>
    </w:p>
    <w:p w14:paraId="53FFBBA5">
      <w:pPr>
        <w:spacing w:line="540" w:lineRule="exact"/>
        <w:jc w:val="center"/>
        <w:rPr>
          <w:rFonts w:hAnsi="宋体" w:eastAsia="仿宋_GB2312" w:cs="宋体"/>
          <w:kern w:val="0"/>
          <w:sz w:val="30"/>
          <w:szCs w:val="30"/>
        </w:rPr>
      </w:pPr>
    </w:p>
    <w:p w14:paraId="76658885">
      <w:pPr>
        <w:spacing w:line="540" w:lineRule="exact"/>
        <w:jc w:val="center"/>
        <w:rPr>
          <w:rFonts w:hAnsi="宋体" w:eastAsia="仿宋_GB2312" w:cs="宋体"/>
          <w:kern w:val="0"/>
          <w:sz w:val="30"/>
          <w:szCs w:val="30"/>
        </w:rPr>
      </w:pPr>
    </w:p>
    <w:p w14:paraId="7EFA942D">
      <w:pPr>
        <w:spacing w:line="540" w:lineRule="exact"/>
        <w:jc w:val="center"/>
        <w:rPr>
          <w:rFonts w:hAnsi="宋体" w:eastAsia="仿宋_GB2312" w:cs="宋体"/>
          <w:kern w:val="0"/>
          <w:sz w:val="30"/>
          <w:szCs w:val="30"/>
        </w:rPr>
      </w:pPr>
    </w:p>
    <w:p w14:paraId="6AAAD15C">
      <w:pPr>
        <w:spacing w:line="540" w:lineRule="exact"/>
        <w:jc w:val="center"/>
        <w:rPr>
          <w:rFonts w:hAnsi="宋体" w:eastAsia="仿宋_GB2312" w:cs="宋体"/>
          <w:kern w:val="0"/>
          <w:sz w:val="30"/>
          <w:szCs w:val="30"/>
        </w:rPr>
      </w:pPr>
    </w:p>
    <w:p w14:paraId="7D852CD3">
      <w:pPr>
        <w:spacing w:line="540" w:lineRule="exact"/>
        <w:rPr>
          <w:rFonts w:hAnsi="宋体" w:eastAsia="仿宋_GB2312" w:cs="宋体"/>
          <w:kern w:val="0"/>
          <w:sz w:val="30"/>
          <w:szCs w:val="30"/>
        </w:rPr>
      </w:pPr>
    </w:p>
    <w:p w14:paraId="3E71B32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2C3993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自治区预算内投资</w:t>
      </w:r>
    </w:p>
    <w:p w14:paraId="149F2F9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新疆维吾尔自治区发展和改革委员会</w:t>
      </w:r>
    </w:p>
    <w:p w14:paraId="49A5A26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新疆维吾尔自治区发展和改革委员会</w:t>
      </w:r>
    </w:p>
    <w:p w14:paraId="0F7099E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张永亮</w:t>
      </w:r>
    </w:p>
    <w:p w14:paraId="1A0C647A">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2026年03月23日</w:t>
      </w:r>
    </w:p>
    <w:p w14:paraId="1E5146BD">
      <w:pPr>
        <w:spacing w:line="700" w:lineRule="exact"/>
        <w:ind w:firstLine="708" w:firstLineChars="236"/>
        <w:jc w:val="left"/>
        <w:rPr>
          <w:rFonts w:hAnsi="宋体" w:eastAsia="仿宋_GB2312" w:cs="宋体"/>
          <w:kern w:val="0"/>
          <w:sz w:val="30"/>
          <w:szCs w:val="30"/>
        </w:rPr>
      </w:pPr>
    </w:p>
    <w:p w14:paraId="61B961E8">
      <w:pPr>
        <w:spacing w:line="540" w:lineRule="exact"/>
        <w:rPr>
          <w:rStyle w:val="18"/>
          <w:rFonts w:ascii="黑体" w:hAnsi="黑体" w:eastAsia="黑体"/>
          <w:b w:val="0"/>
          <w:spacing w:val="-4"/>
          <w:sz w:val="32"/>
          <w:szCs w:val="32"/>
        </w:rPr>
      </w:pPr>
    </w:p>
    <w:p w14:paraId="608CA91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BF9C15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580478C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遵循财政部《项目支出绩效评价管理办法》（财预〔2020〕10号）、自治区财政厅《自治区财政支出绩效评价管理暂行办法》（新财预〔2018〕189号）等相关政策文件与规定，按照自治区党委经济工作会议精神和政府工作报告要求，重点聚焦事关全区经济社会发展的重大项目前期、重点规划编制和重大工程建设，加大关键领域和薄弱环节有效投资，安排自治区预算内基本建设投资，支持重大基础设施开展前期工作，安排重大项目前期费、自治区规划编制及相关课题研究费。保持基础设施领域补短板力度，进一步完善基础设施和公共服务，更好发挥有效投资对优化供给结构的关键性作用，保持经济平稳健康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贯彻落实自治区党委、人民政府安排部署，一是支持开展前瞻性课题研究和规划编制工作，为自治区贯彻新发展理念、推进高质量发展提供决策支撑；二是支持事关自治区长远发展的水利、交通等项目加快前期工作；三是支持各地（州、市）重点项目前期费，系统谋划推进各地重大基础设施、公共服务、保障和改善民生等领域项目前期工作；四是支持我区基础设施、社会事业等关键领域和薄弱环节重点工程稳步提升，通过相关项目建成和投入使用，充分发挥政府投资的引导带动作用，促进基层民生改善，加快重点领域和重大项目建设，助推我区经济社会健康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2025年经我委分解下达自治区预算内投资（前期费）15.5亿元，共支持水利、交通等重大基础设施建设、改善民生等项目，以及重点项目前期工作、重要规划编制和课题研究共229个，特别是遴选支持了一批撬动社会投资能力较强的项目，充分发挥政府投资的引导带动作用，促进了基层民生改善，加强基础和薄弱环节建设，加快重点领域和重大项目建设，推动了我区经济健康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2025年自治区预算内投资（含前期费）资金155000万元。其中：自治区预算内基本建设投资共安排70690万元；自治区预算内前期费共安排84310万元。截至2025年12月31日，实际执行155000万元，预算执行率100%。</w:t>
      </w:r>
    </w:p>
    <w:p w14:paraId="3FE10A5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673D6AA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1.项目绩效总目标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围绕国家“十四五”支持新疆经济社会发展重大项目实施方案、自治区国民经济和社会发展第十四个五年规划和2035年远景目标纲要确定的重点领域、重点任务，按照前期费大于等于40%、投资项目小于等于60%下达比例给予支持。积极开展规划编制和课题研究，完成项目前期工作，推进重点项目建设，为推进我区经济高质量发展提供政策建议、决策参考，促进经济持续健康发展。通过相关项目建成和投入使用，保障和改善民生，进一步完善基础设施，改善当地生态环境，提升公共服务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项目前期准备阶段：2025年1月1日至31日，明确自治区预算内投资规模、支持范围，做好项目储备。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阶段：2月1日至3月31日，下达第一批自治区预算内投资；4月1日至6月30日，下达第二批自治区预算内投资，累计下达投资超50000万元；10月30日前，累计下达投资超90000万元；11月30日前，预算内执行率达到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项目验收阶段：12月1日至31日，收集预算内执行情况材料。</w:t>
      </w:r>
    </w:p>
    <w:p w14:paraId="25FF90A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658FD0F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8DE867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项目支出绩效评价管理办法》（财预〔2020〕10号）和自治区财政厅《自治区财政支出绩效评价管理暂行办法》（新财预〔2018〕189号）等相关政策文件与规定，旨在评价2025年自治区预算内投资和前期费项目实施前期、过程及效果，评价财政预算资金使用的效率及效益，进一步优化自治区预算内投资安排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本次绩效评价以2025年自治区预算内投资（含前期费）项目所对应的预算资金支出为对象，以项目实施所带来的产出和效果为主要内容，以促进预算单位完成特定工作任务目标所组织开展的绩效评价。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14:paraId="4A4AD6B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5265BF3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本次绩效评价遵循的原则包括：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二级指标为：项目立项、绩效目标、资金投入、资金管理、组织实施、产出数量、产出质量、产出时效、产出成本、项目效益。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本次评价采用比较法和综合分析法，总分由各项指标得分汇总形成。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比较法：通过分析项目的实施情况与绩效目标实现情况，评价项目实施的效果；通过分析项目资金使用情况及产生的效果，评价预算资金分配的合理性。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综合分析法：通过整理本项目相关资料和数据，对项目的决策、管理、绩效进行的综合评价分析。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预算内基本建设投资和前期费评价标准采用计划标准，即按照自治区预算内投资计划下达时确定的预期绩效目标、计划、预算、定额等预计数据作为评价财政支出绩效的标准。通过将实际完成值与预定数据进行对比,发现差异并达到评价目的。</w:t>
      </w:r>
    </w:p>
    <w:p w14:paraId="402065D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036ADC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宋强任评价组组长，绩效评价工作职责为负责全盘工作。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张婷任评价组副组长，绩效评价工作职责为对项目实施情况进行数据调度。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张萍萍任评价组成员，绩效评价工作职责为对项目数据进行处理、分析。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谭怡然任评价组成员，绩效评价工作职责为负责资料审核等工作。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14:paraId="2C66AF44">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36DA6DD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2025年自治区预算内投资项目总体组织规范，完成了工作目标，通过相关项目建成和投入使用，促进了基层民生改善，加强了基础和薄弱环节建设，加快了重点领域和重大项目建设。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在项目决策方面，根据自治区党委、人民政府安排部署，安排自治区预算内投资（含前期费）项目，项目立项依据充分，立项程序规范。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管理方面，2025年本项目预算安排155000万元，实际支出155000万元，预算执行率100%。项目资金使用合规，项目财务管理制度健全，财务监控到位，所有资金支付均按照国库集中支付制度严格执行，现有项目管理制度执行情况良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项目产出方面：共支持229个项目。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项目效益方面：充分发挥了政府投资的引导带动作用，促进了基层民生改善，加强了基础和薄弱环节建设，加快了重点领域和重大项目建设，推动了我区经济健康发展。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项目组制定评价指标体系及财政部《项目支出绩效评价管理办法》（财预〔2020〕10号）文件评分标准进行评价，该项目最终评分95分，绩效评级为“优”，具体得分情况为：项目决策20分、项目过程20分、项目产出35分、项目效益20分。</w:t>
      </w:r>
    </w:p>
    <w:p w14:paraId="2652B77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358D721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64D4BF8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项目决策类指标包括项目立项、绩效目标和资金投入三方面的内容，由6个三级指标构成，权重分为20分，实际得分20分，得分率为100%。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立项符合国家法律法规，符合自治区党委、人民政府安排部署及自治区“十四五”相关规划，符合自治区发展改革委职责范围，符合《新疆维吾尔自治区预算内投资项目管理办法》《自治区预算内前期费管理办法》，旨在支持市场不能有效配置资源、需要政府支持的经济和社会领域，立项依据充分，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项目按照规定的程序申请设立，审批文件、材料符合相关要求，根据决策依据编制工作计划和经费预算，经集体决策、提交委党组会议研究确定最终投资下达方案，根据评分标准，该指标不扣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（3）绩效目标合理性：绩效目标与实际工作内容具有相关性，预期产出效益和效果符合正常的业绩水平，且与预算确定的项目投资额或资金量相匹配，根据评分标准，该指标不扣分，得3分。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将项目绩效目标细化分解为具体的绩效指标，10个三级指标，8个定量指标，量化率80%，通过清晰、可衡量的指标值予以体现，与项目目标任务数或计划数相对应，根据评分标准，该指标不扣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（5）预算编制科学性：预算编制经过科学论证，内容与项目内容匹配，项目投资额与工作任务相匹配，根据评分标准，该指标不扣分，得5分。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（6）资金分配合理性：资金分配额度合理，与项目单位和地方实际相适应，根据评分标准，该指标不扣分，得2分。</w:t>
      </w:r>
    </w:p>
    <w:p w14:paraId="18E461C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50703D9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项目过程类指标包括资金管理和组织实施两方面的内容，由5个三级指标构成，权重分为20分，实际得分20分，得分率为100%。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（1）资金到位率：财政资金足额拨付到位，资金到位率100%，根据评分标准，该指标不扣分，得2分。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（2）预算执行率：预算编制较为详细，项目资金支出总体能够按照预算执行，预算执行率100%，根据评分标准，该指标不扣分，得5分。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（3）资金使用合规性：经费使用符合《基本建设财务管理规定》，资金的拨付有完整的审批程序和手续，财务制度健全、执行严格，根据评分标准，该指标不扣分，得5分。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制定了《新疆维吾尔自治区预算内投资项目管理办法》《自治区预算内前期费管理办法》及发改委项目管理内控制度等相关管理制度，对财政专项资金进行严格管理，做到了专款专用，根据评分标准，该指标不扣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项目执行严格遵守《新疆维吾尔自治区预算内投资项目管理办法》《自治区预算内前期费管理办法》及发改委投资项目管理内控制度，但部分项目资料不齐全，归档不及时，根据评分标准，该指标不扣分，得4分。</w:t>
      </w:r>
    </w:p>
    <w:p w14:paraId="288C215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4FB7759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（三）项目产出情况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项目产出类指标包括产出数量、产出质量、产出成本三方面的内容，由3个三级指标构成，权重分为40分，实际得分35分，得分率为87.5%。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（1）对于“产出数量”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安排前期费项目覆盖地州数14，与预期目标一致，根据评分标准，该指标不扣分，得5分。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安排基建投资项目覆盖地州12，与预期目标一致，根据评分标准，该指标不扣分，得5分。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（2）对于“产出质量”：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项目均已下达的建设内容建设，与预期目标一致，根据评分标准，该指标不扣分，得5分。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当年完工项目工程质量合格率为100%，与预期目标一致，根据评分标准，该指标不扣分，得5分。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截至2025年12月31日，根据各地、有关部门汇总数据，项目投资计划完成率70%，未达到超出80%的年度绩效目标任务，根据评分标准，该指标得2分。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截至2025年12月31日，根据各地、有关部门汇总数据，资金拨付率56%，未达到60%的年度绩效目标任务，根据评分标准，该指标得3分。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（3）对于“产出时效”：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（4）对于“产出成本”：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安排前期费84310万元，前期费下达比例为54.4%。符合预计绩效目标：前期费下达比例大于等于40%绩效目标。根据评分标准，该指标不扣分，得5分。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安排基建投资70690万元,基建投资下达比例为45.6%。符合预计绩效目标：基建投资下达比例小于等于60%绩效目标。根据评分标准，该指标不扣分，得5分。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p>
    <w:p w14:paraId="36FEE5D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424F276A">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（四）项目效益情况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项目效益类指标包括项目效益1个方面的内容，由1个三级指标构成，权重分为20分，实际得分20分，得分率为100%。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对于“经济效益指标”：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补齐了当地短板和弱项，增强了可持续发展能力，与预期指标一致，根据评分标准，该指标不扣分，得6分。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有效促进基层民生改善、社会和谐稳定，与预期指标一致，根据评分标准，该指标不扣分，得6分。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对于“可持续影响指标”：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有效提升公共服务，与预期指标一致，根据评分标准，该指标不扣分，得8分。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实施效益指标合计得20分。</w:t>
      </w:r>
      <w:r>
        <w:rPr>
          <w:rStyle w:val="18"/>
          <w:rFonts w:hint="eastAsia" w:ascii="楷体" w:hAnsi="楷体" w:eastAsia="楷体"/>
          <w:spacing w:val="-4"/>
          <w:sz w:val="32"/>
          <w:szCs w:val="32"/>
        </w:rPr>
        <w:cr/>
      </w:r>
    </w:p>
    <w:p w14:paraId="55B397F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无</w:t>
      </w:r>
    </w:p>
    <w:p w14:paraId="1BF39009">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42B1E45D">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加大基础设施、民生等领域补短板力度，发挥投资对经济增长的关键作用，确保经济平稳健康发展。二是是做好规划项目有序接力，规划编制和项目前期是推动项目建设的前期基础，规划研究和项目前期工作越深入，争取国家项目资金支持越主动。我委适当安排前期工作经费和重点规划课题研究，有利于做好自治区各行业政策、规划顶层设计，实现地方规划与国家规划的有序衔接，促进投资有效增长。</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前自治区本级及各地州县市建设项目多、任务重，由于我区经济发展相对滞后，各级财政资金十分紧张，可用于基础设施建设的资金极为有限，建设资金需求量非常大，而自治区预算内投资规模又十分有限，远远不能满足实际需求，还需要自治区财政进一步加大投入力度。</w:t>
      </w:r>
    </w:p>
    <w:p w14:paraId="2004BA7E">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40435321">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1.根据自治区财力状况逐步增加自治区预算内投资规模，以发挥投资的引导带动作用，争取国家更多补助资金，带动相关领域项目建设，推动自治区经济社会高质量发展。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2.加强绩效管理重视程度，定期组织绩效管理培训。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3.及时下拨资金，履行主管部门监管职能，不断提高资金的使用绩效,对跨年度实施项目资金当年未支出完毕的，可以结转到第二年使用，确保项目顺利推进建设。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4.各项目单位严格执行项目调度和档案管理制度，每月将项目开工情况、投资完成情况、工程形象进度等数据报送我委对口处室，并做好项目审批、施工、采购、财务账目、合同签订等各环节文件归档整理。</w:t>
      </w:r>
    </w:p>
    <w:p w14:paraId="778EF5E8">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2A23F4CA">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我单位对上述项目支出绩效评价报告内反映内容的真实性、完整性负责，接受上级部门及社会公众监督。</w:t>
      </w:r>
    </w:p>
    <w:p w14:paraId="22335DE9">
      <w:pPr>
        <w:spacing w:line="540" w:lineRule="exact"/>
        <w:ind w:firstLine="567"/>
        <w:rPr>
          <w:rStyle w:val="18"/>
          <w:rFonts w:ascii="仿宋" w:hAnsi="仿宋" w:eastAsia="仿宋"/>
          <w:b w:val="0"/>
          <w:spacing w:val="-4"/>
          <w:sz w:val="32"/>
          <w:szCs w:val="32"/>
        </w:rPr>
      </w:pPr>
    </w:p>
    <w:p w14:paraId="38A68C6D">
      <w:pPr>
        <w:spacing w:line="540" w:lineRule="exact"/>
        <w:ind w:firstLine="567"/>
        <w:rPr>
          <w:rStyle w:val="18"/>
          <w:rFonts w:ascii="仿宋" w:hAnsi="仿宋" w:eastAsia="仿宋"/>
          <w:b w:val="0"/>
          <w:spacing w:val="-4"/>
          <w:sz w:val="32"/>
          <w:szCs w:val="32"/>
        </w:rPr>
      </w:pPr>
    </w:p>
    <w:p w14:paraId="79DC5A82">
      <w:pPr>
        <w:spacing w:line="540" w:lineRule="exact"/>
        <w:ind w:firstLine="567"/>
        <w:rPr>
          <w:rStyle w:val="18"/>
          <w:rFonts w:ascii="仿宋" w:hAnsi="仿宋" w:eastAsia="仿宋"/>
          <w:b w:val="0"/>
          <w:spacing w:val="-4"/>
          <w:sz w:val="32"/>
          <w:szCs w:val="32"/>
        </w:rPr>
      </w:pPr>
    </w:p>
    <w:p w14:paraId="478220D0">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5D0DEC8C">
        <w:pPr>
          <w:pStyle w:val="12"/>
          <w:jc w:val="center"/>
        </w:pPr>
        <w:r>
          <w:fldChar w:fldCharType="begin"/>
        </w:r>
        <w:r>
          <w:instrText xml:space="preserve">PAGE   \* MERGEFORMAT</w:instrText>
        </w:r>
        <w:r>
          <w:fldChar w:fldCharType="separate"/>
        </w:r>
        <w:r>
          <w:rPr>
            <w:lang w:val="zh-CN"/>
          </w:rPr>
          <w:t>1</w:t>
        </w:r>
        <w:r>
          <w:fldChar w:fldCharType="end"/>
        </w:r>
      </w:p>
    </w:sdtContent>
  </w:sdt>
  <w:p w14:paraId="6233EA2A">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26DD4A6C"/>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6278</Words>
  <Characters>6517</Characters>
  <Lines>5</Lines>
  <Paragraphs>1</Paragraphs>
  <TotalTime>0</TotalTime>
  <ScaleCrop>false</ScaleCrop>
  <LinksUpToDate>false</LinksUpToDate>
  <CharactersWithSpaces>6532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2026-08-19T12:43:22Z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126F9A9E62214A76ABA34C7575736FCB_13</vt:lpwstr>
  </property>
  <property fmtid="{D5CDD505-2E9C-101B-9397-08002B2CF9AE}" pid="4" name="KSOTemplateDocerSaveRecord">
    <vt:lpwstr>eyJoZGlkIjoiODZhYzIwZDcyMmZiZDI3YjJjMTZiYzhkZDYyODMwZTIifQ==</vt:lpwstr>
  </property>
</Properties>
</file>