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自治区财政项目支出绩效自评报告</w:t>
      </w:r>
    </w:p>
    <w:p>
      <w:pPr>
        <w:spacing w:line="540" w:lineRule="exact"/>
        <w:jc w:val="center"/>
        <w:rPr>
          <w:rFonts w:ascii="华文中宋" w:hAnsi="华文中宋" w:eastAsia="华文中宋" w:cs="宋体"/>
          <w:b/>
          <w:kern w:val="0"/>
          <w:sz w:val="44"/>
          <w:szCs w:val="44"/>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default" w:ascii="Times New Roman" w:hAnsi="Times New Roman" w:eastAsia="仿宋_GB2312" w:cs="Times New Roman"/>
          <w:kern w:val="0"/>
          <w:sz w:val="36"/>
          <w:szCs w:val="36"/>
        </w:rPr>
        <w:t xml:space="preserve"> </w:t>
      </w:r>
      <w:r>
        <w:rPr>
          <w:rStyle w:val="18"/>
          <w:rFonts w:hint="default" w:ascii="Times New Roman" w:hAnsi="Times New Roman" w:eastAsia="楷体" w:cs="Times New Roman"/>
          <w:spacing w:val="-4"/>
          <w:sz w:val="32"/>
          <w:szCs w:val="32"/>
        </w:rPr>
        <w:t>2025</w:t>
      </w:r>
      <w:r>
        <w:rPr>
          <w:rFonts w:hint="default" w:ascii="Times New Roman" w:hAnsi="Times New Roman" w:eastAsia="仿宋_GB2312" w:cs="Times New Roman"/>
          <w:kern w:val="0"/>
          <w:sz w:val="36"/>
          <w:szCs w:val="36"/>
        </w:rPr>
        <w:t xml:space="preserve"> </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default" w:ascii="Times New Roman" w:hAnsi="Times New Roman" w:eastAsia="仿宋_GB2312" w:cs="Times New Roman"/>
          <w:b w:val="0"/>
          <w:bCs w:val="0"/>
          <w:kern w:val="0"/>
          <w:sz w:val="28"/>
          <w:szCs w:val="28"/>
        </w:rPr>
      </w:pPr>
      <w:r>
        <w:rPr>
          <w:rFonts w:hint="eastAsia" w:hAnsi="宋体" w:eastAsia="仿宋_GB2312" w:cs="宋体"/>
          <w:kern w:val="0"/>
          <w:sz w:val="36"/>
          <w:szCs w:val="36"/>
        </w:rPr>
        <w:t>项目名称：</w:t>
      </w:r>
      <w:r>
        <w:rPr>
          <w:rStyle w:val="18"/>
          <w:rFonts w:hint="default" w:ascii="Times New Roman" w:hAnsi="Times New Roman" w:eastAsia="楷体" w:cs="Times New Roman"/>
          <w:b w:val="0"/>
          <w:bCs w:val="0"/>
          <w:spacing w:val="-4"/>
          <w:sz w:val="28"/>
          <w:szCs w:val="28"/>
        </w:rPr>
        <w:t>2025年课题研究及决策咨询服务项目</w:t>
      </w:r>
    </w:p>
    <w:p>
      <w:pPr>
        <w:spacing w:line="540" w:lineRule="exact"/>
        <w:ind w:firstLine="567"/>
        <w:rPr>
          <w:rFonts w:hint="default" w:ascii="Times New Roman" w:hAnsi="Times New Roman" w:eastAsia="楷体" w:cs="Times New Roman"/>
          <w:b w:val="0"/>
          <w:bCs w:val="0"/>
          <w:spacing w:val="-4"/>
          <w:sz w:val="32"/>
          <w:szCs w:val="32"/>
        </w:rPr>
      </w:pPr>
      <w:r>
        <w:rPr>
          <w:rFonts w:hint="default" w:ascii="Times New Roman" w:hAnsi="Times New Roman" w:eastAsia="仿宋_GB2312" w:cs="Times New Roman"/>
          <w:b w:val="0"/>
          <w:bCs w:val="0"/>
          <w:kern w:val="0"/>
          <w:sz w:val="36"/>
          <w:szCs w:val="36"/>
        </w:rPr>
        <w:t xml:space="preserve">  实施单位（公章）：</w:t>
      </w:r>
      <w:r>
        <w:rPr>
          <w:rStyle w:val="18"/>
          <w:rFonts w:hint="default" w:ascii="Times New Roman" w:hAnsi="Times New Roman" w:eastAsia="楷体" w:cs="Times New Roman"/>
          <w:b w:val="0"/>
          <w:bCs w:val="0"/>
          <w:spacing w:val="-4"/>
          <w:sz w:val="28"/>
          <w:szCs w:val="28"/>
        </w:rPr>
        <w:t>新疆维吾尔自治区发展和改革委员会经济研究院</w:t>
      </w:r>
    </w:p>
    <w:p>
      <w:pPr>
        <w:spacing w:line="540" w:lineRule="exact"/>
        <w:ind w:firstLine="900" w:firstLineChars="250"/>
        <w:rPr>
          <w:rFonts w:hint="default" w:ascii="Times New Roman" w:hAnsi="Times New Roman" w:eastAsia="楷体" w:cs="Times New Roman"/>
          <w:b w:val="0"/>
          <w:bCs w:val="0"/>
          <w:spacing w:val="-4"/>
          <w:sz w:val="28"/>
          <w:szCs w:val="28"/>
        </w:rPr>
      </w:pPr>
      <w:r>
        <w:rPr>
          <w:rFonts w:hint="default" w:ascii="Times New Roman" w:hAnsi="Times New Roman" w:eastAsia="仿宋_GB2312" w:cs="Times New Roman"/>
          <w:b w:val="0"/>
          <w:bCs w:val="0"/>
          <w:kern w:val="0"/>
          <w:sz w:val="36"/>
          <w:szCs w:val="36"/>
        </w:rPr>
        <w:t>主管部门（公章）：</w:t>
      </w:r>
      <w:r>
        <w:rPr>
          <w:rStyle w:val="18"/>
          <w:rFonts w:hint="default" w:ascii="Times New Roman" w:hAnsi="Times New Roman" w:eastAsia="楷体" w:cs="Times New Roman"/>
          <w:b w:val="0"/>
          <w:bCs w:val="0"/>
          <w:spacing w:val="-4"/>
          <w:sz w:val="28"/>
          <w:szCs w:val="28"/>
        </w:rPr>
        <w:t>新疆维吾尔自治区发展和改革委员会</w:t>
      </w:r>
    </w:p>
    <w:p>
      <w:pPr>
        <w:spacing w:line="540" w:lineRule="exact"/>
        <w:ind w:firstLine="900" w:firstLineChars="250"/>
        <w:rPr>
          <w:rFonts w:hint="default" w:ascii="Times New Roman" w:hAnsi="Times New Roman" w:eastAsia="楷体" w:cs="Times New Roman"/>
          <w:b w:val="0"/>
          <w:bCs w:val="0"/>
          <w:spacing w:val="-4"/>
          <w:sz w:val="28"/>
          <w:szCs w:val="28"/>
        </w:rPr>
      </w:pPr>
      <w:r>
        <w:rPr>
          <w:rFonts w:hint="default" w:ascii="Times New Roman" w:hAnsi="Times New Roman" w:eastAsia="仿宋_GB2312" w:cs="Times New Roman"/>
          <w:b w:val="0"/>
          <w:bCs w:val="0"/>
          <w:kern w:val="0"/>
          <w:sz w:val="36"/>
          <w:szCs w:val="36"/>
        </w:rPr>
        <w:t>项目负责人（签章）：</w:t>
      </w:r>
      <w:r>
        <w:rPr>
          <w:rStyle w:val="18"/>
          <w:rFonts w:hint="default" w:ascii="Times New Roman" w:hAnsi="Times New Roman" w:eastAsia="楷体" w:cs="Times New Roman"/>
          <w:b w:val="0"/>
          <w:bCs w:val="0"/>
          <w:spacing w:val="-4"/>
          <w:sz w:val="28"/>
          <w:szCs w:val="28"/>
        </w:rPr>
        <w:t>邹灵</w:t>
      </w:r>
    </w:p>
    <w:p>
      <w:pPr>
        <w:spacing w:line="540" w:lineRule="exact"/>
        <w:ind w:left="273" w:firstLine="567"/>
        <w:rPr>
          <w:rStyle w:val="18"/>
          <w:rFonts w:hint="default" w:ascii="Times New Roman" w:hAnsi="Times New Roman" w:eastAsia="楷体" w:cs="Times New Roman"/>
          <w:b w:val="0"/>
          <w:bCs w:val="0"/>
          <w:spacing w:val="-4"/>
          <w:sz w:val="32"/>
          <w:szCs w:val="32"/>
        </w:rPr>
      </w:pPr>
      <w:r>
        <w:rPr>
          <w:rFonts w:hint="default" w:ascii="Times New Roman" w:hAnsi="Times New Roman" w:eastAsia="仿宋_GB2312" w:cs="Times New Roman"/>
          <w:b w:val="0"/>
          <w:bCs w:val="0"/>
          <w:kern w:val="0"/>
          <w:sz w:val="36"/>
          <w:szCs w:val="36"/>
        </w:rPr>
        <w:t>填报时间：</w:t>
      </w:r>
      <w:r>
        <w:rPr>
          <w:rStyle w:val="18"/>
          <w:rFonts w:hint="default" w:ascii="Times New Roman" w:hAnsi="Times New Roman" w:eastAsia="楷体" w:cs="Times New Roman"/>
          <w:b w:val="0"/>
          <w:bCs w:val="0"/>
          <w:spacing w:val="-4"/>
          <w:sz w:val="28"/>
          <w:szCs w:val="28"/>
        </w:rPr>
        <w:t>2026年04月14日</w:t>
      </w:r>
    </w:p>
    <w:p>
      <w:pPr>
        <w:spacing w:line="700" w:lineRule="exact"/>
        <w:ind w:firstLine="708" w:firstLineChars="236"/>
        <w:jc w:val="left"/>
        <w:rPr>
          <w:rFonts w:hint="default" w:ascii="Times New Roman" w:hAnsi="Times New Roman" w:eastAsia="仿宋_GB2312" w:cs="Times New Roman"/>
          <w:b w:val="0"/>
          <w:bCs w:val="0"/>
          <w:kern w:val="0"/>
          <w:sz w:val="30"/>
          <w:szCs w:val="30"/>
        </w:rPr>
      </w:pPr>
    </w:p>
    <w:p>
      <w:pPr>
        <w:spacing w:line="540" w:lineRule="exact"/>
        <w:rPr>
          <w:rStyle w:val="18"/>
          <w:rFonts w:ascii="黑体" w:hAnsi="黑体" w:eastAsia="黑体"/>
          <w:b w:val="0"/>
          <w:spacing w:val="-4"/>
          <w:sz w:val="32"/>
          <w:szCs w:val="32"/>
        </w:rPr>
        <w:sectPr>
          <w:pgSz w:w="11906" w:h="16838"/>
          <w:pgMar w:top="1440" w:right="1558" w:bottom="1440" w:left="1800" w:header="851" w:footer="992" w:gutter="0"/>
          <w:cols w:space="425" w:num="1"/>
          <w:docGrid w:type="lines" w:linePitch="312" w:charSpace="0"/>
        </w:sectPr>
      </w:pPr>
    </w:p>
    <w:p>
      <w:pPr>
        <w:spacing w:line="540" w:lineRule="exact"/>
        <w:rPr>
          <w:rStyle w:val="18"/>
          <w:rFonts w:ascii="黑体" w:hAnsi="黑体" w:eastAsia="黑体"/>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一、基本情况</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楷体" w:cs="Times New Roman"/>
          <w:b w:val="0"/>
          <w:bCs w:val="0"/>
          <w:spacing w:val="-4"/>
          <w:sz w:val="32"/>
          <w:szCs w:val="32"/>
        </w:rPr>
        <w:t>（一）项目概况。</w:t>
      </w:r>
      <w:r>
        <w:rPr>
          <w:rStyle w:val="18"/>
          <w:rFonts w:hint="default" w:ascii="Times New Roman" w:hAnsi="Times New Roman" w:eastAsia="仿宋_GB2312" w:cs="Times New Roman"/>
          <w:b w:val="0"/>
          <w:bCs w:val="0"/>
          <w:spacing w:val="-4"/>
          <w:sz w:val="32"/>
          <w:szCs w:val="32"/>
        </w:rPr>
        <w:t>包括项目背景、主要内容及实施情况、资金投入和使用情况等。</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1.项目背景</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项目遵循财政部《项目支出绩效评价管理办法》（财预〔2020〕10号）（以下简称管理办法）和自治区财政厅《自治区财政支出绩效评价管理暂行办法》（新财预〔2018〕189号）（以下简称暂行办法）等相关政策文件与规定，聚焦自治区国民经济与社会发展、改革与稳定的热点难点焦点问题，紧扣自治区党委决策部署和重点工作，围绕自治区发展改革委中心工作，适应不同时期形势发展变化和需要，积极开展战略性、宏观性和前瞻性研究和规划编制。全面落实自治区党委、人民政府、自治区发展改革委各项工作部署，围绕自治区国民经济与社会发展重大问题开展研究，发挥好自治区发展改革委参谋助手作用。分析预测自治区经济社会发展形势，开展自治区经济社会发展热点问题研究，为自治区党委、人民政府和自治区发展改革委提供决策参考。面向地方各级党委政府、行业主管部门开展对策研究，提供决策咨询服务。</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2.主要内容及实施情况</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1）主要内容：紧扣党中央和自治区党委重大决策部署，紧贴自治区经济社会发展实际，聚焦区域发展、产业转型升级、优势资源开发利用、新型城镇化发展、核心区建设、乡村振兴、社会事业发展和民生改善等重点领域和问题，积极开展调查研究，严格按照项目管理办法，稳步推进项目并加强监督管理，形成了一批以应用对策研究为主体的研究成果，部分研究成果被党委政府和相关部门采用，部分决策建议得到领导批示。</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实施情况：2025年通过合理使用项目资金，全面落实了自治区党委、人民政府、自治区发展改革委党组各项工作部署。全年出版《新疆经济》6期，完成“自主研究”报告18项，完成课题数量18项。相关研究成果为自治区经济社会发展形势分析、热点问题研究提供了高质量参考，发挥了资政辅政作用。</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3.项目实施主体</w:t>
      </w:r>
      <w:bookmarkStart w:id="0" w:name="_GoBack"/>
      <w:bookmarkEnd w:id="0"/>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经济研究院主要职能为：受自治区发展和改革委员会委托，研究自治区国民经济与社会发展及改革问题，为自治区国民经济与社会发展及改革提供决策服务;开展应用对策研究，为各级政府、产业部门和企业提供决策咨询服务;开展国内外学术交流与合作。2025年末编制人数42人，其中事业在职39人，事业退休13人。</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4.资金投入和使用情况</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根据文件预算安排自有资金1785.66万元，截至2025年12月31日，实际支出1779.90万元，预算执行率为99.68%。</w:t>
      </w:r>
    </w:p>
    <w:p>
      <w:pPr>
        <w:spacing w:line="540" w:lineRule="exact"/>
        <w:ind w:firstLine="564" w:firstLineChars="181"/>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（二）项目绩效目标。包括总体目标和阶段性目标。</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1.总体目标</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全面落实自治区党委、人民政府、自治区发展改革委各项工作部署，围绕自治区国民经济与社会发展重大问题开展研究，发挥好自治区发展改革委参谋助手作用；分析预测自治区经济社会发展形势，开展自治区经济社会发展热点问题研究，为自治区党委、人民政府和自治区发展改革委提供决策参考；面向地方各级党委政府、行业主管部门开展对策研究，提供决策咨询服务。</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2.阶段性目标</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课题研究及决策咨询服务项目绩效评价实施方案通过全流程管理确保科学性和实效性。前期准备阶段为需求分析与方案讨论，明确分工并召开启动会，结合资料收集、案例研究及委托方需求，制定包含目标完成度、创新性、社会效益等维度的评价指标体系。实施阶段以动态监测为核心，整合定量数据（财务支出、成果数量），跟踪进度、测算效益。验收阶段注重闭环管理，提交终期报告，涵盖目标达成率、问题清单及相关建议，为自治区党委和人民政府、地方各级党委和政府以及行业管理部门履行宏观调控、经济调节、公共服务职责提供了有效参考。</w:t>
      </w:r>
    </w:p>
    <w:p>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二、绩效评价工作开展情况</w:t>
      </w:r>
    </w:p>
    <w:p>
      <w:pPr>
        <w:spacing w:line="540" w:lineRule="exact"/>
        <w:ind w:firstLine="564" w:firstLineChars="181"/>
        <w:rPr>
          <w:rStyle w:val="18"/>
          <w:rFonts w:hint="eastAsia" w:ascii="楷体_GB2312" w:hAnsi="楷体_GB2312" w:eastAsia="楷体_GB2312" w:cs="楷体_GB2312"/>
          <w:b w:val="0"/>
          <w:bCs w:val="0"/>
          <w:spacing w:val="-4"/>
          <w:sz w:val="32"/>
          <w:szCs w:val="32"/>
        </w:rPr>
      </w:pPr>
      <w:r>
        <w:rPr>
          <w:rStyle w:val="18"/>
          <w:rFonts w:hint="eastAsia" w:ascii="楷体_GB2312" w:hAnsi="楷体_GB2312" w:eastAsia="楷体_GB2312" w:cs="楷体_GB2312"/>
          <w:b w:val="0"/>
          <w:bCs w:val="0"/>
          <w:spacing w:val="-4"/>
          <w:sz w:val="32"/>
          <w:szCs w:val="32"/>
        </w:rPr>
        <w:t>（一）绩效评价目的、对象和范围。</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1.绩效评价目的</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本次绩效评价遵循财政部《项目支出绩效评价管理办法》（财预〔2020〕10号）等相关政策文件与规定，旨在评价财政项目实施前期、过程及效果，评价财政预算资金使用的效率及效益。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2.绩效评价对象</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绩效评价遵循《项目支出绩效评价管理办法》（财预〔2020〕10号）等相关政策文件与规定，以决策咨询与服务经营性收入项目支出为对象所对应的预算资金，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3.绩效评价范围</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4" w:firstLineChars="181"/>
        <w:rPr>
          <w:rStyle w:val="18"/>
          <w:rFonts w:hint="default" w:ascii="Times New Roman" w:hAnsi="Times New Roman" w:eastAsia="仿宋_GB2312" w:cs="Times New Roman"/>
          <w:b w:val="0"/>
          <w:bCs w:val="0"/>
          <w:spacing w:val="-4"/>
          <w:sz w:val="32"/>
          <w:szCs w:val="32"/>
        </w:rPr>
      </w:pPr>
      <w:r>
        <w:rPr>
          <w:rStyle w:val="18"/>
          <w:rFonts w:hint="eastAsia" w:ascii="楷体_GB2312" w:hAnsi="楷体_GB2312" w:eastAsia="楷体_GB2312" w:cs="楷体_GB2312"/>
          <w:b w:val="0"/>
          <w:bCs w:val="0"/>
          <w:spacing w:val="-4"/>
          <w:sz w:val="32"/>
          <w:szCs w:val="32"/>
        </w:rPr>
        <w:t>（二）绩效评价原则、评价指标体系（附表说明）、评价方法、评价标准等</w:t>
      </w:r>
      <w:r>
        <w:rPr>
          <w:rStyle w:val="18"/>
          <w:rFonts w:hint="default" w:ascii="Times New Roman" w:hAnsi="Times New Roman" w:eastAsia="仿宋_GB2312" w:cs="Times New Roman"/>
          <w:b w:val="0"/>
          <w:bCs w:val="0"/>
          <w:spacing w:val="-4"/>
          <w:sz w:val="32"/>
          <w:szCs w:val="32"/>
        </w:rPr>
        <w:t>。</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1.绩效评价原则</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本次绩效评价遵循的原则包括：</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（1）科学公正。绩效评价应当运用科学合理的方法，按照规范的程序，对项目绩效进行客观、公正的反映。</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（4）公开透明。绩效评价结果应依法依规公开，并自觉接受社会监督。</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2.绩效评价指标体系</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一级指标为：决策、过程、产出、效益。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3.绩效评价方法</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本次评价采用定量与定性评价相结合的比较法，公众评判法，总分由各项指标得分汇总形成。</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4.绩效评价标准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4" w:firstLineChars="181"/>
        <w:rPr>
          <w:rStyle w:val="18"/>
          <w:rFonts w:hint="default" w:ascii="Times New Roman" w:hAnsi="Times New Roman" w:eastAsia="仿宋_GB2312" w:cs="Times New Roman"/>
          <w:b w:val="0"/>
          <w:bCs w:val="0"/>
          <w:spacing w:val="-4"/>
          <w:sz w:val="32"/>
          <w:szCs w:val="32"/>
        </w:rPr>
      </w:pPr>
      <w:r>
        <w:rPr>
          <w:rStyle w:val="18"/>
          <w:rFonts w:hint="eastAsia" w:ascii="楷体_GB2312" w:hAnsi="楷体_GB2312" w:eastAsia="楷体_GB2312" w:cs="楷体_GB2312"/>
          <w:b w:val="0"/>
          <w:bCs w:val="0"/>
          <w:spacing w:val="-4"/>
          <w:sz w:val="32"/>
          <w:szCs w:val="32"/>
        </w:rPr>
        <w:t>（三）绩效评价工作过程。</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第一阶段：前期准备。</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我单位绩效评价人员根据《管理办法》文件精神认真学习相关要求与规定，成立绩效评价工作组，作为绩效评价工作具体实施机构。成员构成如下：</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邹灵任评价组组长，绩效评价工作职责为负责全盘工作。</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刘悦任评价组副组长，绩效评价工作职责为负责资料审核等工作。</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朱光宇、刘海薇、秦春艳、程晓龙任评价组成员，绩效评价工作职责为对项目实施情况进行实地调查、报告撰写和数据分析。</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第二阶段：组织实施。</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第三阶段：分析评价。</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第四阶段：撰写与提交评价报告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项目撰写绩效评价报告，按照财政局大平台绩效系统中统一格式和文本框架撰写绩效评价报告。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第五阶段：归集档案</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三、综合评价情况及评价结论</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eastAsia" w:ascii="楷体_GB2312" w:hAnsi="楷体_GB2312" w:eastAsia="楷体_GB2312" w:cs="楷体_GB2312"/>
          <w:b w:val="0"/>
          <w:bCs w:val="0"/>
          <w:spacing w:val="-4"/>
          <w:sz w:val="32"/>
          <w:szCs w:val="32"/>
        </w:rPr>
        <w:t>（一）综合评价情况</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决策咨询与服务经营性收入项目总体组织规范，完成了决策咨询与服务经营性收入项目的工作目标，有效规范了项目实施全过程管理，为自治区党委和人民政府、地方各级党委和政府、各有关部门提供了高质量的决策咨询服务，取得了良好的经济效益和社会效益。</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在项目决策方面，严格按照相关规定执行，项目立项依据充分，立项程序规范。</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项目管理方面，2025年本项目预算安排1785.66万元，实际支出1779.90万元，预算执行率99.68%。项目资金使用合规，项目财务管理制度健全，财务监控到位，所有资金支付均按照本单位资金管理办法严格执行，现有项目管理制度执行情况良好。</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项目产出方面：2025年完成“自主研究”报告18项、刊发《新疆经济》6期、完成课题数量18项。</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项目效益方面：聚焦自治区党委决策部署，围绕发展改革委中心工作开展高质量研究，为各级党委政府提供了一批极具价值的咨询服务和建议，较好地发挥了资政辅政作用。其中部分阶段性成果获得自治区领导肯定性批示。</w:t>
      </w:r>
      <w:r>
        <w:rPr>
          <w:rStyle w:val="18"/>
          <w:rFonts w:hint="default" w:ascii="Times New Roman" w:hAnsi="Times New Roman" w:eastAsia="仿宋_GB2312" w:cs="Times New Roman"/>
          <w:b w:val="0"/>
          <w:bCs w:val="0"/>
          <w:spacing w:val="-4"/>
          <w:sz w:val="32"/>
          <w:szCs w:val="32"/>
        </w:rPr>
        <w:br w:type="textWrapping"/>
      </w:r>
      <w:r>
        <w:rPr>
          <w:rStyle w:val="18"/>
          <w:rFonts w:hint="eastAsia" w:eastAsia="仿宋_GB2312" w:cs="Times New Roman"/>
          <w:b w:val="0"/>
          <w:bCs w:val="0"/>
          <w:spacing w:val="-4"/>
          <w:sz w:val="32"/>
          <w:szCs w:val="32"/>
          <w:lang w:val="en-US" w:eastAsia="zh-CN"/>
        </w:rPr>
        <w:t xml:space="preserve">    </w:t>
      </w:r>
      <w:r>
        <w:rPr>
          <w:rStyle w:val="18"/>
          <w:rFonts w:hint="eastAsia" w:ascii="楷体_GB2312" w:hAnsi="楷体_GB2312" w:eastAsia="楷体_GB2312" w:cs="楷体_GB2312"/>
          <w:b w:val="0"/>
          <w:bCs w:val="0"/>
          <w:spacing w:val="-4"/>
          <w:sz w:val="32"/>
          <w:szCs w:val="32"/>
        </w:rPr>
        <w:t>（二）综合评价结论</w:t>
      </w:r>
      <w:r>
        <w:rPr>
          <w:rStyle w:val="18"/>
          <w:rFonts w:hint="eastAsia" w:ascii="楷体_GB2312" w:hAnsi="楷体_GB2312" w:eastAsia="楷体_GB2312" w:cs="楷体_GB2312"/>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运用项目组制定评价指标体系及《管理办法》文件评分标准进行评价，该项目最终评分100分，绩效评级为“优”，具体得分情况为：项目决策30分、项目过程30分、项目产出30分、项目效益10分。</w:t>
      </w:r>
    </w:p>
    <w:p>
      <w:pPr>
        <w:spacing w:line="540" w:lineRule="exact"/>
        <w:ind w:firstLine="640"/>
        <w:rPr>
          <w:rStyle w:val="18"/>
          <w:rFonts w:hint="eastAsia" w:ascii="黑体" w:hAnsi="黑体" w:eastAsia="黑体" w:cs="黑体"/>
          <w:b w:val="0"/>
          <w:bCs w:val="0"/>
        </w:rPr>
      </w:pPr>
      <w:r>
        <w:rPr>
          <w:rStyle w:val="18"/>
          <w:rFonts w:hint="eastAsia" w:ascii="黑体" w:hAnsi="黑体" w:eastAsia="黑体" w:cs="黑体"/>
          <w:b w:val="0"/>
          <w:bCs w:val="0"/>
          <w:spacing w:val="-4"/>
          <w:sz w:val="32"/>
          <w:szCs w:val="32"/>
        </w:rPr>
        <w:t xml:space="preserve">四、绩效评价指标分析 </w:t>
      </w:r>
    </w:p>
    <w:p>
      <w:pPr>
        <w:spacing w:line="540" w:lineRule="exact"/>
        <w:ind w:firstLine="564" w:firstLineChars="181"/>
        <w:rPr>
          <w:rStyle w:val="18"/>
          <w:rFonts w:hint="default" w:ascii="Times New Roman" w:hAnsi="Times New Roman" w:eastAsia="仿宋_GB2312" w:cs="Times New Roman"/>
          <w:b w:val="0"/>
          <w:bCs w:val="0"/>
          <w:spacing w:val="-4"/>
          <w:sz w:val="32"/>
          <w:szCs w:val="32"/>
        </w:rPr>
      </w:pPr>
      <w:r>
        <w:rPr>
          <w:rFonts w:hint="eastAsia" w:ascii="楷体_GB2312" w:hAnsi="楷体_GB2312" w:eastAsia="楷体_GB2312" w:cs="楷体_GB2312"/>
          <w:b w:val="0"/>
          <w:bCs w:val="0"/>
          <w:spacing w:val="-4"/>
          <w:sz w:val="32"/>
          <w:szCs w:val="32"/>
        </w:rPr>
        <w:t>（一）项目决策情况。</w:t>
      </w:r>
      <w:r>
        <w:rPr>
          <w:rStyle w:val="18"/>
          <w:rFonts w:hint="eastAsia" w:ascii="楷体_GB2312" w:hAnsi="楷体_GB2312" w:eastAsia="楷体_GB2312" w:cs="楷体_GB2312"/>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项目决策类指标包括项目立项、绩效目标和资金投入三方面的内容，由6个三级指标构成，权重分为 25 分，实际得分25分，得分率为100%。</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1）立项依据充分性：本项目根据《关于印发新疆维吾尔自治区发展和改革委员会经济研究院机构编制方案的通知》（新政办发〔2006〕105号）立项，符合国家法律法规、国民经济发展规划和相关政策，符合行业发展规划和政策要求，与部门职责范围相符，属于部门履职所需，立项依据充分，根据评分标准，该指标不扣分得5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（2）立项程序规范性：根据决策依据编制工作计划，确定经费预算，上党委会研究确定最终预算方案，根据评分标准，该指标不扣分，得3分。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（3）绩效目标合理性：绩效目标与实际工作内容具有相关性，预期产出效益和效果符合正常的业绩水平，且与预算确定的项目投资额或资金量相匹配，根据评分标准，该指标不扣分，得3分。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绩效指标明确性：将项目绩效目标细化分解为具体的绩效指标,13个三级指标，13个定量指标，量化率100%通过清晰、可衡量的指标值予以体现，与项目目标任务数或计划数相对应，根据评分标准，该指标不扣分，得3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（5）预算编制科学性：预算编制经过科学论证，内容与项目内容匹配，项目投资额与工作任务相匹配，根据评分标准，该指标不扣分，得6分。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（6）资金分配合理性：资金分配与实际相适应，根据评分标准，该指标不扣分，得5分。</w:t>
      </w:r>
    </w:p>
    <w:p>
      <w:pPr>
        <w:spacing w:line="540" w:lineRule="exact"/>
        <w:ind w:firstLine="564" w:firstLineChars="181"/>
        <w:rPr>
          <w:rFonts w:hint="eastAsia" w:ascii="楷体_GB2312" w:hAnsi="楷体_GB2312" w:eastAsia="楷体_GB2312" w:cs="楷体_GB2312"/>
          <w:b w:val="0"/>
          <w:bCs w:val="0"/>
          <w:spacing w:val="-4"/>
          <w:sz w:val="32"/>
          <w:szCs w:val="32"/>
        </w:rPr>
      </w:pPr>
      <w:r>
        <w:rPr>
          <w:rFonts w:hint="eastAsia" w:ascii="楷体_GB2312" w:hAnsi="楷体_GB2312" w:eastAsia="楷体_GB2312" w:cs="楷体_GB2312"/>
          <w:b w:val="0"/>
          <w:bCs w:val="0"/>
          <w:spacing w:val="-4"/>
          <w:sz w:val="32"/>
          <w:szCs w:val="32"/>
        </w:rPr>
        <w:t>（二）项目过程情况。</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项目过程类指标包括资金管理和组织实施两方面的内容，由5个三级指标构成，权重分为25分，实际得分25分，得分率为100%。</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（1）资金到位率：项目预算资金1785.66万元，实际到位资金1785.66万元，到位率为100%。根据评分标准，该指标不扣分，得6分。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（2）预算执行率：预算编制较为详细，项目资金支出1779.90万元，执行率99.68%。根据评分标准，该指标不扣分，得6分。</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3）资金使用合规性：制定了相关的制度和管理规定对经费使用进行规范管理，严格执行《经济研究院科研项目经费管理办法》和《经济研究院财务管理制度》，有完整规范的审批程序和手续，不存在截留、挤占、挪用、虚列支出等情况。根据评分标准，该指标不扣分，得6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（4）管理制度健全性：制定了相关的制度和管理办法，《经济研究院科研项目经费管理办法》《经济研究院财务管理制度》合法、合规、完整。根据评分标准，该指标不扣分，得3分。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 xml:space="preserve">    （5）制度执行有效性：项目实施符合相关管理规定，严格遵守相关法律法规和相关管理规定，财务对资金的使用合法合规性进行监督，根据评分标准，该指标不扣分，得4分。</w:t>
      </w:r>
    </w:p>
    <w:p>
      <w:pPr>
        <w:numPr>
          <w:ilvl w:val="0"/>
          <w:numId w:val="1"/>
        </w:numPr>
        <w:spacing w:line="540" w:lineRule="exact"/>
        <w:ind w:firstLine="564" w:firstLineChars="181"/>
        <w:rPr>
          <w:rStyle w:val="18"/>
          <w:rFonts w:hint="default" w:ascii="Times New Roman" w:hAnsi="Times New Roman" w:eastAsia="仿宋_GB2312" w:cs="Times New Roman"/>
          <w:b w:val="0"/>
          <w:bCs w:val="0"/>
          <w:spacing w:val="-4"/>
          <w:sz w:val="32"/>
          <w:szCs w:val="32"/>
        </w:rPr>
      </w:pPr>
      <w:r>
        <w:rPr>
          <w:rFonts w:hint="eastAsia" w:ascii="楷体_GB2312" w:hAnsi="楷体_GB2312" w:eastAsia="楷体_GB2312" w:cs="楷体_GB2312"/>
          <w:b w:val="0"/>
          <w:bCs w:val="0"/>
          <w:spacing w:val="-4"/>
          <w:sz w:val="32"/>
          <w:szCs w:val="32"/>
        </w:rPr>
        <w:t>项目产出情况。</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项目产出类指标包括产出数量、产出质量、产出时效、产出成本四方面的内容，由7个三级指标构成，权重分为40分，实际得分40分，得分率为100%。</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（1）对于“产出数量”：</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完成“自主研究”报告数量18项，实际完成18项，与预期目标一致，根据评分标准，该指标不扣分，合计得4分；刊发《新疆经济》期刊数量6期，实际完成6期，与预期目标一致，根据评分标准，该指标不扣分，合计得4分；完成课题数量18项，实际完成18项，与预期目标一致，根据评分标准，该指标不扣分，合计得2分</w:t>
      </w:r>
      <w:r>
        <w:rPr>
          <w:rStyle w:val="18"/>
          <w:rFonts w:hint="default" w:ascii="Times New Roman" w:hAnsi="Times New Roman" w:eastAsia="仿宋_GB2312" w:cs="Times New Roman"/>
          <w:b w:val="0"/>
          <w:bCs w:val="0"/>
          <w:spacing w:val="-4"/>
          <w:sz w:val="32"/>
          <w:szCs w:val="32"/>
          <w:lang w:eastAsia="zh-CN"/>
        </w:rPr>
        <w:t>；共</w:t>
      </w:r>
      <w:r>
        <w:rPr>
          <w:rStyle w:val="18"/>
          <w:rFonts w:hint="default" w:ascii="Times New Roman" w:hAnsi="Times New Roman" w:eastAsia="仿宋_GB2312" w:cs="Times New Roman"/>
          <w:b w:val="0"/>
          <w:bCs w:val="0"/>
          <w:spacing w:val="-4"/>
          <w:sz w:val="32"/>
          <w:szCs w:val="32"/>
        </w:rPr>
        <w:t>计得10分。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（2）对于“产出质量”：</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“自主研究”报告审核通过率100%，实际完成100%，与预期目标一致，根据评分标准，该指标不扣分，合计得4分；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《新疆经济》期刊编辑出版合格率100%，实际完成100%，与预期目标一致，根据评分标准，该指标不扣分，合计得4分；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课题结题率100%，实际完成100%，与预期目标一致，根据评分标准，该指标不扣分，合计得2分</w:t>
      </w:r>
      <w:r>
        <w:rPr>
          <w:rStyle w:val="18"/>
          <w:rFonts w:hint="default" w:ascii="Times New Roman" w:hAnsi="Times New Roman" w:eastAsia="仿宋_GB2312" w:cs="Times New Roman"/>
          <w:b w:val="0"/>
          <w:bCs w:val="0"/>
          <w:spacing w:val="-4"/>
          <w:sz w:val="32"/>
          <w:szCs w:val="32"/>
          <w:lang w:eastAsia="zh-CN"/>
        </w:rPr>
        <w:t>；共</w:t>
      </w:r>
      <w:r>
        <w:rPr>
          <w:rStyle w:val="18"/>
          <w:rFonts w:hint="default" w:ascii="Times New Roman" w:hAnsi="Times New Roman" w:eastAsia="仿宋_GB2312" w:cs="Times New Roman"/>
          <w:b w:val="0"/>
          <w:bCs w:val="0"/>
          <w:spacing w:val="-4"/>
          <w:sz w:val="32"/>
          <w:szCs w:val="32"/>
        </w:rPr>
        <w:t>计得10分。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（3）对于“产出时效”：</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自主研究”报告完成及时率100%，实际完成100%，与预期目标一致，该指标不扣分，得4分；《新疆经济》期刊发行及时率100%，实际完成100%，与预期目标一致，该指标不扣分，得4分；课题按时结题率100%，实际完成100%，与预期目标一致，该指标不扣分，得2分</w:t>
      </w:r>
      <w:r>
        <w:rPr>
          <w:rStyle w:val="18"/>
          <w:rFonts w:hint="default" w:ascii="Times New Roman" w:hAnsi="Times New Roman" w:eastAsia="仿宋_GB2312" w:cs="Times New Roman"/>
          <w:b w:val="0"/>
          <w:bCs w:val="0"/>
          <w:spacing w:val="-4"/>
          <w:sz w:val="32"/>
          <w:szCs w:val="32"/>
          <w:lang w:eastAsia="zh-CN"/>
        </w:rPr>
        <w:t>；共</w:t>
      </w:r>
      <w:r>
        <w:rPr>
          <w:rStyle w:val="18"/>
          <w:rFonts w:hint="default" w:ascii="Times New Roman" w:hAnsi="Times New Roman" w:eastAsia="仿宋_GB2312" w:cs="Times New Roman"/>
          <w:b w:val="0"/>
          <w:bCs w:val="0"/>
          <w:spacing w:val="-4"/>
          <w:sz w:val="32"/>
          <w:szCs w:val="32"/>
        </w:rPr>
        <w:t>计得10分。</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（4）对于“产出成本”：</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项目总成本支出控制在预算1785.66万元以内，实际支出1779.90万元，成本控制有效，根据评分标准，该指标扣0.01分，</w:t>
      </w:r>
      <w:r>
        <w:rPr>
          <w:rStyle w:val="18"/>
          <w:rFonts w:hint="default" w:ascii="Times New Roman" w:hAnsi="Times New Roman" w:eastAsia="仿宋_GB2312" w:cs="Times New Roman"/>
          <w:b w:val="0"/>
          <w:bCs w:val="0"/>
          <w:spacing w:val="-4"/>
          <w:sz w:val="32"/>
          <w:szCs w:val="32"/>
          <w:lang w:eastAsia="zh-CN"/>
        </w:rPr>
        <w:t>共</w:t>
      </w:r>
      <w:r>
        <w:rPr>
          <w:rStyle w:val="18"/>
          <w:rFonts w:hint="default" w:ascii="Times New Roman" w:hAnsi="Times New Roman" w:eastAsia="仿宋_GB2312" w:cs="Times New Roman"/>
          <w:b w:val="0"/>
          <w:bCs w:val="0"/>
          <w:spacing w:val="-4"/>
          <w:sz w:val="32"/>
          <w:szCs w:val="32"/>
        </w:rPr>
        <w:t>计得9.99分。</w:t>
      </w:r>
    </w:p>
    <w:p>
      <w:pPr>
        <w:spacing w:line="540" w:lineRule="exact"/>
        <w:ind w:firstLine="564" w:firstLineChars="181"/>
        <w:rPr>
          <w:rFonts w:hint="eastAsia" w:ascii="楷体_GB2312" w:hAnsi="楷体_GB2312" w:eastAsia="楷体_GB2312" w:cs="楷体_GB2312"/>
          <w:b w:val="0"/>
          <w:bCs w:val="0"/>
          <w:spacing w:val="-4"/>
          <w:sz w:val="32"/>
          <w:szCs w:val="32"/>
        </w:rPr>
      </w:pPr>
      <w:r>
        <w:rPr>
          <w:rFonts w:hint="eastAsia" w:ascii="楷体_GB2312" w:hAnsi="楷体_GB2312" w:eastAsia="楷体_GB2312" w:cs="楷体_GB2312"/>
          <w:b w:val="0"/>
          <w:bCs w:val="0"/>
          <w:spacing w:val="-4"/>
          <w:sz w:val="32"/>
          <w:szCs w:val="32"/>
        </w:rPr>
        <w:t>（四）项目效益情况。</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项目效益类指标包括项目效益2个方面的内容，由2个三级指标构成，权重分为10分，实际得分10分，得分率为100%。</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1.实施效益指标：</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对于“社会效益指标”：本项目无该指标。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对于“可持续影响指标”：本项目无该指标。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对于“经济效益指标”：本项目无该指标。</w:t>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对于“生态效益指标”：本项目无该指标。</w:t>
      </w:r>
    </w:p>
    <w:p>
      <w:pPr>
        <w:spacing w:line="540" w:lineRule="exact"/>
        <w:ind w:firstLine="567"/>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2.满意度指标:</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rPr>
        <w:br w:type="textWrapping"/>
      </w:r>
      <w:r>
        <w:rPr>
          <w:rStyle w:val="18"/>
          <w:rFonts w:hint="default" w:ascii="Times New Roman" w:hAnsi="Times New Roman" w:eastAsia="仿宋_GB2312" w:cs="Times New Roman"/>
          <w:b w:val="0"/>
          <w:bCs w:val="0"/>
          <w:spacing w:val="-4"/>
          <w:sz w:val="32"/>
          <w:szCs w:val="32"/>
        </w:rPr>
        <w:t>对于“满意度指标：《新疆经济》期刊读者满意度≥90%，与预期目标一致，根据评分标准，该指标不扣分,得5分；课题委托方满意度≥95%，与预期目标一致，根据评分标准，该指标不扣分,得5分；</w:t>
      </w:r>
      <w:r>
        <w:rPr>
          <w:rStyle w:val="18"/>
          <w:rFonts w:hint="default" w:ascii="Times New Roman" w:hAnsi="Times New Roman" w:eastAsia="仿宋_GB2312" w:cs="Times New Roman"/>
          <w:b w:val="0"/>
          <w:bCs w:val="0"/>
          <w:spacing w:val="-4"/>
          <w:sz w:val="32"/>
          <w:szCs w:val="32"/>
          <w:lang w:eastAsia="zh-CN"/>
        </w:rPr>
        <w:t>共</w:t>
      </w:r>
      <w:r>
        <w:rPr>
          <w:rStyle w:val="18"/>
          <w:rFonts w:hint="default" w:ascii="Times New Roman" w:hAnsi="Times New Roman" w:eastAsia="仿宋_GB2312" w:cs="Times New Roman"/>
          <w:b w:val="0"/>
          <w:bCs w:val="0"/>
          <w:spacing w:val="-4"/>
          <w:sz w:val="32"/>
          <w:szCs w:val="32"/>
        </w:rPr>
        <w:t>计得10分。</w:t>
      </w:r>
    </w:p>
    <w:p>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lang w:eastAsia="zh-CN"/>
        </w:rPr>
        <w:t>五</w:t>
      </w:r>
      <w:r>
        <w:rPr>
          <w:rStyle w:val="18"/>
          <w:rFonts w:hint="eastAsia" w:ascii="黑体" w:hAnsi="黑体" w:eastAsia="黑体" w:cs="黑体"/>
          <w:b w:val="0"/>
          <w:bCs w:val="0"/>
          <w:spacing w:val="-4"/>
          <w:sz w:val="32"/>
          <w:szCs w:val="32"/>
        </w:rPr>
        <w:t>、主要经验及做法、存在的问题及原因分析</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eastAsia" w:ascii="楷体_GB2312" w:hAnsi="楷体_GB2312" w:eastAsia="楷体_GB2312" w:cs="楷体_GB2312"/>
          <w:b w:val="0"/>
          <w:bCs w:val="0"/>
          <w:spacing w:val="-4"/>
          <w:sz w:val="32"/>
          <w:szCs w:val="32"/>
        </w:rPr>
        <w:t>（一）主要经验及做法</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一是持续强化组织领导，本项目绩效评价工作，由院长亲自挂帅，分管副院长具体负责，从项目立项到资金执行的全链条管理高效有序，保障了项目目标顺利实现。二是加强动态监控与沟通协调，建立了定期汇报机制，及时掌握项目进度与资金支付情况，强化与课题组成员的沟通，确保各项研究任务按期高质量结题。</w:t>
      </w:r>
      <w:r>
        <w:rPr>
          <w:rStyle w:val="18"/>
          <w:rFonts w:hint="default" w:ascii="Times New Roman" w:hAnsi="Times New Roman" w:eastAsia="仿宋_GB2312" w:cs="Times New Roman"/>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eastAsia" w:ascii="楷体_GB2312" w:hAnsi="楷体_GB2312" w:eastAsia="楷体_GB2312" w:cs="楷体_GB2312"/>
          <w:b w:val="0"/>
          <w:bCs w:val="0"/>
          <w:spacing w:val="-4"/>
          <w:sz w:val="32"/>
          <w:szCs w:val="32"/>
        </w:rPr>
        <w:t>（二）存在问题及原因分析</w:t>
      </w:r>
      <w:r>
        <w:rPr>
          <w:rStyle w:val="18"/>
          <w:rFonts w:hint="eastAsia" w:ascii="楷体_GB2312" w:hAnsi="楷体_GB2312" w:eastAsia="楷体_GB2312" w:cs="楷体_GB2312"/>
          <w:b w:val="0"/>
          <w:bCs w:val="0"/>
          <w:spacing w:val="-4"/>
          <w:sz w:val="32"/>
          <w:szCs w:val="32"/>
        </w:rPr>
        <w:cr/>
      </w:r>
      <w:r>
        <w:rPr>
          <w:rStyle w:val="18"/>
          <w:rFonts w:hint="default" w:ascii="Times New Roman" w:hAnsi="Times New Roman" w:eastAsia="仿宋_GB2312" w:cs="Times New Roman"/>
          <w:b w:val="0"/>
          <w:bCs w:val="0"/>
          <w:spacing w:val="-4"/>
          <w:sz w:val="32"/>
          <w:szCs w:val="32"/>
          <w:lang w:val="en-US" w:eastAsia="zh-CN"/>
        </w:rPr>
        <w:t xml:space="preserve">    </w:t>
      </w:r>
      <w:r>
        <w:rPr>
          <w:rStyle w:val="18"/>
          <w:rFonts w:hint="default" w:ascii="Times New Roman" w:hAnsi="Times New Roman" w:eastAsia="仿宋_GB2312" w:cs="Times New Roman"/>
          <w:b w:val="0"/>
          <w:bCs w:val="0"/>
          <w:spacing w:val="-4"/>
          <w:sz w:val="32"/>
          <w:szCs w:val="32"/>
        </w:rPr>
        <w:t>一是绩效理解深度不足，将绩效评价简单等同于财务指标考核，对社会效益、生态效益等综合价值评价不足。二是结果应用创新不足，应用场景单一，主要停留在考核通报层面，未建立多维应用场景，对创新性应用缺乏容错机制。</w:t>
      </w:r>
    </w:p>
    <w:p>
      <w:pPr>
        <w:ind w:firstLine="624" w:firstLineChars="20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lang w:eastAsia="zh-CN"/>
        </w:rPr>
        <w:t>六</w:t>
      </w:r>
      <w:r>
        <w:rPr>
          <w:rStyle w:val="18"/>
          <w:rFonts w:hint="eastAsia" w:ascii="黑体" w:hAnsi="黑体" w:eastAsia="黑体" w:cs="黑体"/>
          <w:b w:val="0"/>
          <w:bCs w:val="0"/>
          <w:spacing w:val="-4"/>
          <w:sz w:val="32"/>
          <w:szCs w:val="32"/>
        </w:rPr>
        <w:t>、有关建议</w:t>
      </w:r>
    </w:p>
    <w:p>
      <w:pPr>
        <w:spacing w:line="540" w:lineRule="exact"/>
        <w:ind w:firstLine="624" w:firstLineChars="200"/>
        <w:rPr>
          <w:rStyle w:val="18"/>
          <w:rFonts w:hint="default" w:ascii="Times New Roman" w:hAnsi="Times New Roman" w:eastAsia="仿宋_GB2312"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一是优化指标和指标值，科学合理编制预算，充分考虑社会效益、生态效益等综合价值，提高项目绩效评价准确性和有效性。二是创新绩效文化培育，建立跨部门经验分享机制和创新容错清单，划定免责适用情形。</w:t>
      </w:r>
    </w:p>
    <w:p>
      <w:pPr>
        <w:spacing w:line="540" w:lineRule="exact"/>
        <w:ind w:firstLine="567"/>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lang w:eastAsia="zh-CN"/>
        </w:rPr>
        <w:t>七</w:t>
      </w:r>
      <w:r>
        <w:rPr>
          <w:rStyle w:val="18"/>
          <w:rFonts w:hint="eastAsia" w:ascii="黑体" w:hAnsi="黑体" w:eastAsia="黑体" w:cs="黑体"/>
          <w:b w:val="0"/>
          <w:bCs w:val="0"/>
          <w:spacing w:val="-4"/>
          <w:sz w:val="32"/>
          <w:szCs w:val="32"/>
        </w:rPr>
        <w:t>、其他需要说明的问题</w:t>
      </w:r>
    </w:p>
    <w:p>
      <w:pPr>
        <w:spacing w:line="540" w:lineRule="exact"/>
        <w:ind w:firstLine="624" w:firstLineChars="200"/>
        <w:rPr>
          <w:rStyle w:val="18"/>
          <w:rFonts w:hint="default" w:ascii="Times New Roman" w:hAnsi="Times New Roman" w:eastAsia="仿宋" w:cs="Times New Roman"/>
          <w:b w:val="0"/>
          <w:bCs w:val="0"/>
          <w:spacing w:val="-4"/>
          <w:sz w:val="32"/>
          <w:szCs w:val="32"/>
        </w:rPr>
      </w:pPr>
      <w:r>
        <w:rPr>
          <w:rStyle w:val="18"/>
          <w:rFonts w:hint="default" w:ascii="Times New Roman" w:hAnsi="Times New Roman" w:eastAsia="仿宋_GB2312" w:cs="Times New Roman"/>
          <w:b w:val="0"/>
          <w:bCs w:val="0"/>
          <w:spacing w:val="-4"/>
          <w:sz w:val="32"/>
          <w:szCs w:val="32"/>
        </w:rPr>
        <w:t>无</w:t>
      </w: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p>
      <w:pPr>
        <w:spacing w:line="540" w:lineRule="exact"/>
        <w:ind w:firstLine="567"/>
        <w:rPr>
          <w:rStyle w:val="18"/>
          <w:rFonts w:hint="default" w:ascii="Times New Roman" w:hAnsi="Times New Roman" w:eastAsia="仿宋" w:cs="Times New Roman"/>
          <w:b w:val="0"/>
          <w:bCs w:val="0"/>
          <w:spacing w:val="-4"/>
          <w:sz w:val="32"/>
          <w:szCs w:val="32"/>
        </w:rPr>
      </w:pPr>
    </w:p>
    <w:sectPr>
      <w:footerReference r:id="rId3" w:type="default"/>
      <w:pgSz w:w="11906" w:h="16838"/>
      <w:pgMar w:top="1440" w:right="1558"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1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BF4D09"/>
    <w:multiLevelType w:val="singleLevel"/>
    <w:tmpl w:val="D3BF4D09"/>
    <w:lvl w:ilvl="0" w:tentative="0">
      <w:start w:val="3"/>
      <w:numFmt w:val="chineseCounting"/>
      <w:suff w:val="nothing"/>
      <w:lvlText w:val="（%1）"/>
      <w:lvlJc w:val="left"/>
      <w:rPr>
        <w:rFonts w:hint="eastAsia" w:ascii="楷体_GB2312" w:hAnsi="楷体_GB2312" w:eastAsia="楷体_GB2312" w:cs="楷体_GB231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6D03E58"/>
    <w:rsid w:val="0CB44F22"/>
    <w:rsid w:val="4C3D1751"/>
    <w:rsid w:val="4D2606A1"/>
    <w:rsid w:val="77BF5F39"/>
    <w:rsid w:val="FB9EC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4624</Words>
  <Characters>4757</Characters>
  <Lines>5</Lines>
  <Paragraphs>1</Paragraphs>
  <TotalTime>1</TotalTime>
  <ScaleCrop>false</ScaleCrop>
  <LinksUpToDate>false</LinksUpToDate>
  <CharactersWithSpaces>4786</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fgw</cp:lastModifiedBy>
  <cp:lastPrinted>2019-01-01T02:56:00Z</cp:lastPrinted>
  <dcterms:modified xsi:type="dcterms:W3CDTF">2026-08-26T17:43:34Z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667738EA952E4B9889875622546F6128_13</vt:lpwstr>
  </property>
  <property fmtid="{D5CDD505-2E9C-101B-9397-08002B2CF9AE}" pid="4" name="KSOTemplateDocerSaveRecord">
    <vt:lpwstr>eyJoZGlkIjoiNGZlNDRhOThhNmIzOWFjODg4MzNmNzY5N2JhYmQyY2YiLCJ1c2VySWQiOiIzNzg0MjM0ODQifQ==</vt:lpwstr>
  </property>
</Properties>
</file>