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02D2" w:rsidRDefault="000402D2">
      <w:pPr>
        <w:spacing w:line="540" w:lineRule="exact"/>
        <w:jc w:val="left"/>
        <w:rPr>
          <w:rFonts w:ascii="仿宋" w:eastAsia="仿宋" w:hAnsi="仿宋" w:cs="宋体"/>
          <w:kern w:val="0"/>
          <w:sz w:val="32"/>
          <w:szCs w:val="32"/>
        </w:rPr>
      </w:pPr>
    </w:p>
    <w:p w:rsidR="000402D2" w:rsidRDefault="000402D2">
      <w:pPr>
        <w:spacing w:line="540" w:lineRule="exact"/>
        <w:jc w:val="center"/>
        <w:rPr>
          <w:rFonts w:ascii="华文中宋" w:eastAsia="华文中宋" w:hAnsi="华文中宋" w:cs="宋体"/>
          <w:b/>
          <w:kern w:val="0"/>
          <w:sz w:val="52"/>
          <w:szCs w:val="52"/>
        </w:rPr>
      </w:pPr>
    </w:p>
    <w:p w:rsidR="000402D2" w:rsidRDefault="000402D2">
      <w:pPr>
        <w:spacing w:line="540" w:lineRule="exact"/>
        <w:jc w:val="center"/>
        <w:rPr>
          <w:rFonts w:ascii="华文中宋" w:eastAsia="华文中宋" w:hAnsi="华文中宋" w:cs="宋体"/>
          <w:b/>
          <w:kern w:val="0"/>
          <w:sz w:val="52"/>
          <w:szCs w:val="52"/>
        </w:rPr>
      </w:pPr>
    </w:p>
    <w:p w:rsidR="000402D2" w:rsidRDefault="000402D2">
      <w:pPr>
        <w:spacing w:line="540" w:lineRule="exact"/>
        <w:jc w:val="center"/>
        <w:rPr>
          <w:rFonts w:ascii="华文中宋" w:eastAsia="华文中宋" w:hAnsi="华文中宋" w:cs="宋体"/>
          <w:b/>
          <w:kern w:val="0"/>
          <w:sz w:val="52"/>
          <w:szCs w:val="52"/>
        </w:rPr>
      </w:pPr>
    </w:p>
    <w:p w:rsidR="000402D2" w:rsidRDefault="000402D2">
      <w:pPr>
        <w:spacing w:line="540" w:lineRule="exact"/>
        <w:jc w:val="center"/>
        <w:rPr>
          <w:rFonts w:ascii="华文中宋" w:eastAsia="华文中宋" w:hAnsi="华文中宋" w:cs="宋体"/>
          <w:b/>
          <w:kern w:val="0"/>
          <w:sz w:val="52"/>
          <w:szCs w:val="52"/>
        </w:rPr>
      </w:pPr>
    </w:p>
    <w:p w:rsidR="000402D2" w:rsidRDefault="000402D2">
      <w:pPr>
        <w:spacing w:line="540" w:lineRule="exact"/>
        <w:jc w:val="center"/>
        <w:rPr>
          <w:rFonts w:ascii="华文中宋" w:eastAsia="华文中宋" w:hAnsi="华文中宋" w:cs="宋体"/>
          <w:b/>
          <w:kern w:val="0"/>
          <w:sz w:val="52"/>
          <w:szCs w:val="52"/>
        </w:rPr>
      </w:pPr>
    </w:p>
    <w:p w:rsidR="000402D2" w:rsidRDefault="000402D2">
      <w:pPr>
        <w:spacing w:line="540" w:lineRule="exact"/>
        <w:jc w:val="center"/>
        <w:rPr>
          <w:rFonts w:ascii="华文中宋" w:eastAsia="华文中宋" w:hAnsi="华文中宋" w:cs="宋体"/>
          <w:b/>
          <w:kern w:val="0"/>
          <w:sz w:val="52"/>
          <w:szCs w:val="52"/>
        </w:rPr>
      </w:pPr>
    </w:p>
    <w:p w:rsidR="000402D2" w:rsidRDefault="003C1AA4">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0402D2" w:rsidRDefault="000402D2">
      <w:pPr>
        <w:spacing w:line="540" w:lineRule="exact"/>
        <w:jc w:val="center"/>
        <w:rPr>
          <w:rFonts w:ascii="华文中宋" w:eastAsia="华文中宋" w:hAnsi="华文中宋" w:cs="宋体"/>
          <w:b/>
          <w:kern w:val="0"/>
          <w:sz w:val="52"/>
          <w:szCs w:val="52"/>
        </w:rPr>
      </w:pPr>
    </w:p>
    <w:p w:rsidR="000402D2" w:rsidRDefault="003C1AA4">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2025</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0402D2" w:rsidRDefault="000402D2">
      <w:pPr>
        <w:spacing w:line="540" w:lineRule="exact"/>
        <w:jc w:val="center"/>
        <w:rPr>
          <w:rFonts w:eastAsia="仿宋_GB2312" w:hAnsi="宋体" w:cs="宋体"/>
          <w:kern w:val="0"/>
          <w:sz w:val="30"/>
          <w:szCs w:val="30"/>
        </w:rPr>
      </w:pPr>
    </w:p>
    <w:p w:rsidR="000402D2" w:rsidRDefault="000402D2">
      <w:pPr>
        <w:spacing w:line="540" w:lineRule="exact"/>
        <w:jc w:val="center"/>
        <w:rPr>
          <w:rFonts w:eastAsia="仿宋_GB2312" w:hAnsi="宋体" w:cs="宋体"/>
          <w:kern w:val="0"/>
          <w:sz w:val="30"/>
          <w:szCs w:val="30"/>
        </w:rPr>
      </w:pPr>
    </w:p>
    <w:p w:rsidR="000402D2" w:rsidRDefault="000402D2">
      <w:pPr>
        <w:spacing w:line="540" w:lineRule="exact"/>
        <w:jc w:val="center"/>
        <w:rPr>
          <w:rFonts w:eastAsia="仿宋_GB2312" w:hAnsi="宋体" w:cs="宋体"/>
          <w:kern w:val="0"/>
          <w:sz w:val="30"/>
          <w:szCs w:val="30"/>
        </w:rPr>
      </w:pPr>
    </w:p>
    <w:p w:rsidR="000402D2" w:rsidRDefault="000402D2">
      <w:pPr>
        <w:spacing w:line="540" w:lineRule="exact"/>
        <w:jc w:val="center"/>
        <w:rPr>
          <w:rFonts w:eastAsia="仿宋_GB2312" w:hAnsi="宋体" w:cs="宋体"/>
          <w:kern w:val="0"/>
          <w:sz w:val="30"/>
          <w:szCs w:val="30"/>
        </w:rPr>
      </w:pPr>
      <w:bookmarkStart w:id="0" w:name="_GoBack"/>
      <w:bookmarkEnd w:id="0"/>
    </w:p>
    <w:p w:rsidR="000402D2" w:rsidRDefault="000402D2">
      <w:pPr>
        <w:spacing w:line="540" w:lineRule="exact"/>
        <w:jc w:val="center"/>
        <w:rPr>
          <w:rFonts w:eastAsia="仿宋_GB2312" w:hAnsi="宋体" w:cs="宋体"/>
          <w:kern w:val="0"/>
          <w:sz w:val="30"/>
          <w:szCs w:val="30"/>
        </w:rPr>
      </w:pPr>
    </w:p>
    <w:p w:rsidR="000402D2" w:rsidRDefault="000402D2">
      <w:pPr>
        <w:spacing w:line="540" w:lineRule="exact"/>
        <w:jc w:val="center"/>
        <w:rPr>
          <w:rFonts w:eastAsia="仿宋_GB2312" w:hAnsi="宋体" w:cs="宋体"/>
          <w:kern w:val="0"/>
          <w:sz w:val="30"/>
          <w:szCs w:val="30"/>
        </w:rPr>
      </w:pPr>
    </w:p>
    <w:p w:rsidR="000402D2" w:rsidRDefault="000402D2">
      <w:pPr>
        <w:spacing w:line="540" w:lineRule="exact"/>
        <w:rPr>
          <w:rFonts w:eastAsia="仿宋_GB2312" w:hAnsi="宋体" w:cs="宋体"/>
          <w:kern w:val="0"/>
          <w:sz w:val="30"/>
          <w:szCs w:val="30"/>
        </w:rPr>
      </w:pPr>
    </w:p>
    <w:p w:rsidR="000402D2" w:rsidRDefault="003C1AA4">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0402D2" w:rsidRDefault="003C1AA4">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能源监测专项业务费</w:t>
      </w:r>
    </w:p>
    <w:p w:rsidR="000402D2" w:rsidRDefault="003C1AA4">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新疆维吾尔自治区能源安全监测中心</w:t>
      </w:r>
    </w:p>
    <w:p w:rsidR="000402D2" w:rsidRDefault="003C1AA4">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新疆维吾尔自治区发展和改革委员会</w:t>
      </w:r>
    </w:p>
    <w:p w:rsidR="000402D2" w:rsidRDefault="003C1AA4">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朱权</w:t>
      </w:r>
    </w:p>
    <w:p w:rsidR="000402D2" w:rsidRDefault="003C1AA4">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2026</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03</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18</w:t>
      </w:r>
      <w:r>
        <w:rPr>
          <w:rStyle w:val="a8"/>
          <w:rFonts w:ascii="楷体" w:eastAsia="楷体" w:hAnsi="楷体" w:hint="eastAsia"/>
          <w:spacing w:val="-4"/>
          <w:sz w:val="32"/>
          <w:szCs w:val="32"/>
        </w:rPr>
        <w:t>日</w:t>
      </w:r>
    </w:p>
    <w:p w:rsidR="000402D2" w:rsidRDefault="000402D2">
      <w:pPr>
        <w:spacing w:line="700" w:lineRule="exact"/>
        <w:ind w:firstLineChars="236" w:firstLine="708"/>
        <w:jc w:val="left"/>
        <w:rPr>
          <w:rFonts w:eastAsia="仿宋_GB2312" w:hAnsi="宋体" w:cs="宋体"/>
          <w:kern w:val="0"/>
          <w:sz w:val="30"/>
          <w:szCs w:val="30"/>
        </w:rPr>
      </w:pPr>
    </w:p>
    <w:p w:rsidR="000402D2" w:rsidRDefault="000402D2">
      <w:pPr>
        <w:spacing w:line="540" w:lineRule="exact"/>
        <w:rPr>
          <w:rStyle w:val="a8"/>
          <w:rFonts w:ascii="黑体" w:eastAsia="黑体" w:hAnsi="黑体"/>
          <w:b w:val="0"/>
          <w:spacing w:val="-4"/>
          <w:sz w:val="32"/>
          <w:szCs w:val="32"/>
        </w:rPr>
      </w:pPr>
    </w:p>
    <w:p w:rsidR="000402D2" w:rsidRDefault="003C1AA4">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0402D2" w:rsidRDefault="003C1AA4">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（一）项目概况。包括项目背景、主要内容及实施情况、资金投入和使用情况等。</w:t>
      </w:r>
    </w:p>
    <w:p w:rsidR="000402D2" w:rsidRDefault="003C1AA4">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t xml:space="preserve">1. </w:t>
      </w:r>
      <w:r>
        <w:rPr>
          <w:rStyle w:val="a8"/>
          <w:rFonts w:ascii="楷体" w:eastAsia="楷体" w:hAnsi="楷体" w:hint="eastAsia"/>
          <w:spacing w:val="-4"/>
          <w:sz w:val="32"/>
          <w:szCs w:val="32"/>
        </w:rPr>
        <w:t>项目背景</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立项依据：本项目遵循财政部《项目支出绩效评价管理办法》（财预〔</w:t>
      </w:r>
      <w:r>
        <w:rPr>
          <w:rStyle w:val="a8"/>
          <w:rFonts w:ascii="楷体" w:eastAsia="楷体" w:hAnsi="楷体" w:hint="eastAsia"/>
          <w:spacing w:val="-4"/>
          <w:sz w:val="32"/>
          <w:szCs w:val="32"/>
        </w:rPr>
        <w:t>2020</w:t>
      </w:r>
      <w:r>
        <w:rPr>
          <w:rStyle w:val="a8"/>
          <w:rFonts w:ascii="楷体" w:eastAsia="楷体" w:hAnsi="楷体" w:hint="eastAsia"/>
          <w:spacing w:val="-4"/>
          <w:sz w:val="32"/>
          <w:szCs w:val="32"/>
        </w:rPr>
        <w:t>〕</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号）等相关政策文件与规定。根据自治区党委机构编制委员会《关于印发新疆维吾尔自治区能源安全监测中心职能配置、内设机构及人员编制规定的通知》（新党编委〔</w:t>
      </w:r>
      <w:r>
        <w:rPr>
          <w:rStyle w:val="a8"/>
          <w:rFonts w:ascii="楷体" w:eastAsia="楷体" w:hAnsi="楷体" w:hint="eastAsia"/>
          <w:spacing w:val="-4"/>
          <w:sz w:val="32"/>
          <w:szCs w:val="32"/>
        </w:rPr>
        <w:t>2020</w:t>
      </w:r>
      <w:r>
        <w:rPr>
          <w:rStyle w:val="a8"/>
          <w:rFonts w:ascii="楷体" w:eastAsia="楷体" w:hAnsi="楷体" w:hint="eastAsia"/>
          <w:spacing w:val="-4"/>
          <w:sz w:val="32"/>
          <w:szCs w:val="32"/>
        </w:rPr>
        <w:t>〕</w:t>
      </w:r>
      <w:r>
        <w:rPr>
          <w:rStyle w:val="a8"/>
          <w:rFonts w:ascii="楷体" w:eastAsia="楷体" w:hAnsi="楷体" w:hint="eastAsia"/>
          <w:spacing w:val="-4"/>
          <w:sz w:val="32"/>
          <w:szCs w:val="32"/>
        </w:rPr>
        <w:t>12</w:t>
      </w:r>
      <w:r>
        <w:rPr>
          <w:rStyle w:val="a8"/>
          <w:rFonts w:ascii="楷体" w:eastAsia="楷体" w:hAnsi="楷体" w:hint="eastAsia"/>
          <w:spacing w:val="-4"/>
          <w:sz w:val="32"/>
          <w:szCs w:val="32"/>
        </w:rPr>
        <w:t>号）文件精神，能源安全监测中心主要是开展自治区能源重点项目建设信息统计分析、监测等工作。</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项目背景：新疆维吾尔自治区能源安全监测中心是开展能源行业信息统计分析、监测评价的公益一类事业单位，随着全国能源结构的转型和可持续发展目标的推进，能源行业正面临前所未有的机遇与挑战。能</w:t>
      </w:r>
      <w:r>
        <w:rPr>
          <w:rStyle w:val="a8"/>
          <w:rFonts w:ascii="楷体" w:eastAsia="楷体" w:hAnsi="楷体" w:hint="eastAsia"/>
          <w:spacing w:val="-4"/>
          <w:sz w:val="32"/>
          <w:szCs w:val="32"/>
        </w:rPr>
        <w:t>源基础设施的建设与运行监测成为保障能源安全、提升能源效率的关键环节。为了确保能源系统的高效、稳定运行，国家及自治区高度重视能源建设与运行监测工作。</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当前，自治区能源基础设施建设规模不断扩大，但在运行监测方面仍存在诸多问题，部分能源设施的监测手段仍依赖传统技</w:t>
      </w:r>
      <w:r>
        <w:rPr>
          <w:rStyle w:val="a8"/>
          <w:rFonts w:ascii="楷体" w:eastAsia="楷体" w:hAnsi="楷体" w:hint="eastAsia"/>
          <w:spacing w:val="-4"/>
          <w:sz w:val="32"/>
          <w:szCs w:val="32"/>
        </w:rPr>
        <w:lastRenderedPageBreak/>
        <w:t>术，无法满足现代化能源系统的实时监测需求。能源运行数据分散在不同系统中，缺乏统一的数据平台，导致信息孤岛现象严重。</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能效管理薄弱，能源运行效率低下，缺乏有效的监测手段来优化能源使用。</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综上所述，能源建设运行监测专项业务费的设立是应对当前能源行业挑战、</w:t>
      </w:r>
      <w:r>
        <w:rPr>
          <w:rStyle w:val="a8"/>
          <w:rFonts w:ascii="楷体" w:eastAsia="楷体" w:hAnsi="楷体" w:hint="eastAsia"/>
          <w:spacing w:val="-4"/>
          <w:sz w:val="32"/>
          <w:szCs w:val="32"/>
        </w:rPr>
        <w:t>提升能源管理水平的必要举措。通过专项费用的支持，将推动能源监测技术的创新与应用，保障能源安全，提升能源效率，为自治区能源行业的可持续发展提供有力支撑。</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t xml:space="preserve">2. </w:t>
      </w:r>
      <w:r>
        <w:rPr>
          <w:rStyle w:val="a8"/>
          <w:rFonts w:ascii="楷体" w:eastAsia="楷体" w:hAnsi="楷体" w:hint="eastAsia"/>
          <w:spacing w:val="-4"/>
          <w:sz w:val="32"/>
          <w:szCs w:val="32"/>
        </w:rPr>
        <w:t>主要内容及实施情况</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本项目建设内容：一是编报统计报表和监测分析报告。按月编报《自治区能源建设运行监测分析报告》《自治区煤炭建设运行监测分析报告》《自治区油气管道建设运行监测分析报告》、《自治区电力建设运行监测分析报告》《自治区能源重点项目进度监测分析报告》及《能源政策文件汇编》，为委内相关处室决策分析提供技术支撑。二是配合主管部门前往各地（州、市）</w:t>
      </w:r>
      <w:r>
        <w:rPr>
          <w:rStyle w:val="a8"/>
          <w:rFonts w:ascii="楷体" w:eastAsia="楷体" w:hAnsi="楷体" w:hint="eastAsia"/>
          <w:spacing w:val="-4"/>
          <w:sz w:val="32"/>
          <w:szCs w:val="32"/>
        </w:rPr>
        <w:t>级电力企业和油气企业检查，为加强电力、油气管道保护油气管道保护等行业分析和安全生产提供支撑。选取全疆重点能源生产企业，对其信用信息体系建设情况开展现场调研，为建设能源企业信用信息数据库提供参考和依据。三是各部负责参加国家及内地省（区、市）组织的（油气、煤炭、电力等行业）各类</w:t>
      </w:r>
      <w:r>
        <w:rPr>
          <w:rStyle w:val="a8"/>
          <w:rFonts w:ascii="楷体" w:eastAsia="楷体" w:hAnsi="楷体" w:hint="eastAsia"/>
          <w:spacing w:val="-4"/>
          <w:sz w:val="32"/>
          <w:szCs w:val="32"/>
        </w:rPr>
        <w:lastRenderedPageBreak/>
        <w:t>会议和培训，赴内地省（区、市）交流学习能源智慧化建设的成功经验以及能耗在线监测系统建设和运行经验。四是结合结合中心各部门报送的油气、煤炭、电力监测分析报告，按月汇总编制《能源建设运行监测分析报告》，收集统计自治区煤炭领域、电力行业及油气管</w:t>
      </w:r>
      <w:r>
        <w:rPr>
          <w:rStyle w:val="a8"/>
          <w:rFonts w:ascii="楷体" w:eastAsia="楷体" w:hAnsi="楷体" w:hint="eastAsia"/>
          <w:spacing w:val="-4"/>
          <w:sz w:val="32"/>
          <w:szCs w:val="32"/>
        </w:rPr>
        <w:t>道保护行业生产运行相关数据，分析研判行业建设生产运行情况，建立健全能源行业建设、运行和预测预警机制，为自治区能源行业稳定安全发展提供技术支撑。</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实施情况：一是与自治区相关厅局、能源企业以及委内处室的联系，收集统计国家、自治区有关部门、机构、企业油气生产运行、油气管道保护，煤炭领域生产运行以及电力行业生产运行和电力安全相关数据信息，开展分析研判、监测预警工作，本年按月编制油气、煤炭、电力监测分析报告</w:t>
      </w:r>
      <w:r>
        <w:rPr>
          <w:rStyle w:val="a8"/>
          <w:rFonts w:ascii="楷体" w:eastAsia="楷体" w:hAnsi="楷体" w:hint="eastAsia"/>
          <w:spacing w:val="-4"/>
          <w:sz w:val="32"/>
          <w:szCs w:val="32"/>
        </w:rPr>
        <w:t>12</w:t>
      </w:r>
      <w:r>
        <w:rPr>
          <w:rStyle w:val="a8"/>
          <w:rFonts w:ascii="楷体" w:eastAsia="楷体" w:hAnsi="楷体" w:hint="eastAsia"/>
          <w:spacing w:val="-4"/>
          <w:sz w:val="32"/>
          <w:szCs w:val="32"/>
        </w:rPr>
        <w:t>期，汇总编制《能源建设运行监测分析报告》</w:t>
      </w:r>
      <w:r>
        <w:rPr>
          <w:rStyle w:val="a8"/>
          <w:rFonts w:ascii="楷体" w:eastAsia="楷体" w:hAnsi="楷体" w:hint="eastAsia"/>
          <w:spacing w:val="-4"/>
          <w:sz w:val="32"/>
          <w:szCs w:val="32"/>
        </w:rPr>
        <w:t>12</w:t>
      </w:r>
      <w:r>
        <w:rPr>
          <w:rStyle w:val="a8"/>
          <w:rFonts w:ascii="楷体" w:eastAsia="楷体" w:hAnsi="楷体" w:hint="eastAsia"/>
          <w:spacing w:val="-4"/>
          <w:sz w:val="32"/>
          <w:szCs w:val="32"/>
        </w:rPr>
        <w:t>期。二是参加国家及内地省（区、市）组织的（油气、煤炭、电力等行</w:t>
      </w:r>
      <w:r>
        <w:rPr>
          <w:rStyle w:val="a8"/>
          <w:rFonts w:ascii="楷体" w:eastAsia="楷体" w:hAnsi="楷体" w:hint="eastAsia"/>
          <w:spacing w:val="-4"/>
          <w:sz w:val="32"/>
          <w:szCs w:val="32"/>
        </w:rPr>
        <w:t>业）各类会议和培训</w:t>
      </w:r>
      <w:r>
        <w:rPr>
          <w:rStyle w:val="a8"/>
          <w:rFonts w:ascii="楷体" w:eastAsia="楷体" w:hAnsi="楷体" w:hint="eastAsia"/>
          <w:spacing w:val="-4"/>
          <w:sz w:val="32"/>
          <w:szCs w:val="32"/>
        </w:rPr>
        <w:t>18</w:t>
      </w:r>
      <w:r>
        <w:rPr>
          <w:rStyle w:val="a8"/>
          <w:rFonts w:ascii="楷体" w:eastAsia="楷体" w:hAnsi="楷体" w:hint="eastAsia"/>
          <w:spacing w:val="-4"/>
          <w:sz w:val="32"/>
          <w:szCs w:val="32"/>
        </w:rPr>
        <w:t>人次。</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t>3.</w:t>
      </w:r>
      <w:r>
        <w:rPr>
          <w:rStyle w:val="a8"/>
          <w:rFonts w:ascii="楷体" w:eastAsia="楷体" w:hAnsi="楷体" w:hint="eastAsia"/>
          <w:spacing w:val="-4"/>
          <w:sz w:val="32"/>
          <w:szCs w:val="32"/>
        </w:rPr>
        <w:t>项目实施主体</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新疆维吾尔自治区能源安全监测中心主要职能为：承担自治区能源行业建设、生产运行、安全信息统计分析与监测预警工作；负责能源行业大数据平台建设、运行工作；承担自治区能源行业信用体系建设管理和工程质量管理工作的技术支撑；承担全区油气管道保护和煤矿、电力行业安全生产政策、技术规范的研究等工作；承担自治区能源重大规划、专项规划、重大项目</w:t>
      </w:r>
      <w:r>
        <w:rPr>
          <w:rStyle w:val="a8"/>
          <w:rFonts w:ascii="楷体" w:eastAsia="楷体" w:hAnsi="楷体" w:hint="eastAsia"/>
          <w:spacing w:val="-4"/>
          <w:sz w:val="32"/>
          <w:szCs w:val="32"/>
        </w:rPr>
        <w:lastRenderedPageBreak/>
        <w:t>等工作执行情况及事中、事后评价工作的跟踪分析。及主管部门自治区发展和改革委员会交办的其他任务。</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编制人数</w:t>
      </w:r>
      <w:r>
        <w:rPr>
          <w:rStyle w:val="a8"/>
          <w:rFonts w:ascii="楷体" w:eastAsia="楷体" w:hAnsi="楷体" w:hint="eastAsia"/>
          <w:spacing w:val="-4"/>
          <w:sz w:val="32"/>
          <w:szCs w:val="32"/>
        </w:rPr>
        <w:t>46</w:t>
      </w:r>
      <w:r>
        <w:rPr>
          <w:rStyle w:val="a8"/>
          <w:rFonts w:ascii="楷体" w:eastAsia="楷体" w:hAnsi="楷体" w:hint="eastAsia"/>
          <w:spacing w:val="-4"/>
          <w:sz w:val="32"/>
          <w:szCs w:val="32"/>
        </w:rPr>
        <w:t>人，其中：事业人员编制</w:t>
      </w:r>
      <w:r>
        <w:rPr>
          <w:rStyle w:val="a8"/>
          <w:rFonts w:ascii="楷体" w:eastAsia="楷体" w:hAnsi="楷体" w:hint="eastAsia"/>
          <w:spacing w:val="-4"/>
          <w:sz w:val="32"/>
          <w:szCs w:val="32"/>
        </w:rPr>
        <w:t>4</w:t>
      </w:r>
      <w:r>
        <w:rPr>
          <w:rStyle w:val="a8"/>
          <w:rFonts w:ascii="楷体" w:eastAsia="楷体" w:hAnsi="楷体" w:hint="eastAsia"/>
          <w:spacing w:val="-4"/>
          <w:sz w:val="32"/>
          <w:szCs w:val="32"/>
        </w:rPr>
        <w:t>0</w:t>
      </w:r>
      <w:r>
        <w:rPr>
          <w:rStyle w:val="a8"/>
          <w:rFonts w:ascii="楷体" w:eastAsia="楷体" w:hAnsi="楷体" w:hint="eastAsia"/>
          <w:spacing w:val="-4"/>
          <w:sz w:val="32"/>
          <w:szCs w:val="32"/>
        </w:rPr>
        <w:t>人，离退休人员</w:t>
      </w:r>
      <w:r>
        <w:rPr>
          <w:rStyle w:val="a8"/>
          <w:rFonts w:ascii="楷体" w:eastAsia="楷体" w:hAnsi="楷体" w:hint="eastAsia"/>
          <w:spacing w:val="-4"/>
          <w:sz w:val="32"/>
          <w:szCs w:val="32"/>
        </w:rPr>
        <w:t>0</w:t>
      </w:r>
      <w:r>
        <w:rPr>
          <w:rStyle w:val="a8"/>
          <w:rFonts w:ascii="楷体" w:eastAsia="楷体" w:hAnsi="楷体" w:hint="eastAsia"/>
          <w:spacing w:val="-4"/>
          <w:sz w:val="32"/>
          <w:szCs w:val="32"/>
        </w:rPr>
        <w:t>人。</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t xml:space="preserve">4. </w:t>
      </w:r>
      <w:r>
        <w:rPr>
          <w:rStyle w:val="a8"/>
          <w:rFonts w:ascii="楷体" w:eastAsia="楷体" w:hAnsi="楷体" w:hint="eastAsia"/>
          <w:spacing w:val="-4"/>
          <w:sz w:val="32"/>
          <w:szCs w:val="32"/>
        </w:rPr>
        <w:t>资金投入和使用情况</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根据财政部门预算文件批复预算安排资金</w:t>
      </w:r>
      <w:r>
        <w:rPr>
          <w:rStyle w:val="a8"/>
          <w:rFonts w:ascii="楷体" w:eastAsia="楷体" w:hAnsi="楷体" w:hint="eastAsia"/>
          <w:spacing w:val="-4"/>
          <w:sz w:val="32"/>
          <w:szCs w:val="32"/>
        </w:rPr>
        <w:t>28</w:t>
      </w:r>
      <w:r>
        <w:rPr>
          <w:rStyle w:val="a8"/>
          <w:rFonts w:ascii="楷体" w:eastAsia="楷体" w:hAnsi="楷体" w:hint="eastAsia"/>
          <w:spacing w:val="-4"/>
          <w:sz w:val="32"/>
          <w:szCs w:val="32"/>
        </w:rPr>
        <w:t>万元，截至</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12</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31</w:t>
      </w:r>
      <w:r>
        <w:rPr>
          <w:rStyle w:val="a8"/>
          <w:rFonts w:ascii="楷体" w:eastAsia="楷体" w:hAnsi="楷体" w:hint="eastAsia"/>
          <w:spacing w:val="-4"/>
          <w:sz w:val="32"/>
          <w:szCs w:val="32"/>
        </w:rPr>
        <w:t>日，实际支出</w:t>
      </w:r>
      <w:r>
        <w:rPr>
          <w:rStyle w:val="a8"/>
          <w:rFonts w:ascii="楷体" w:eastAsia="楷体" w:hAnsi="楷体" w:hint="eastAsia"/>
          <w:spacing w:val="-4"/>
          <w:sz w:val="32"/>
          <w:szCs w:val="32"/>
        </w:rPr>
        <w:t>28</w:t>
      </w:r>
      <w:r>
        <w:rPr>
          <w:rStyle w:val="a8"/>
          <w:rFonts w:ascii="楷体" w:eastAsia="楷体" w:hAnsi="楷体" w:hint="eastAsia"/>
          <w:spacing w:val="-4"/>
          <w:sz w:val="32"/>
          <w:szCs w:val="32"/>
        </w:rPr>
        <w:t>万元，预算执行率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p>
    <w:p w:rsidR="000402D2" w:rsidRDefault="003C1AA4">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（二）项目绩效目标。包括总体目标和阶段性目标。</w:t>
      </w:r>
    </w:p>
    <w:p w:rsidR="000402D2" w:rsidRDefault="003C1AA4">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t>1.</w:t>
      </w:r>
      <w:r>
        <w:rPr>
          <w:rStyle w:val="a8"/>
          <w:rFonts w:ascii="楷体" w:eastAsia="楷体" w:hAnsi="楷体" w:hint="eastAsia"/>
          <w:spacing w:val="-4"/>
          <w:sz w:val="32"/>
          <w:szCs w:val="32"/>
        </w:rPr>
        <w:t>项目绩效总目标</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一、结合结合中心各部门报送的油气、煤炭、电力监测分析报告，按月汇总编制《能源建设运行监测分析报告》，收集统计自治区煤炭领域、电力行业及油气管道保护行业生产运行相关数据，分析研判行业建设生产运行情况，建立健全能源行业建设、运行和预测预警机制，为自治区能源</w:t>
      </w:r>
      <w:r>
        <w:rPr>
          <w:rStyle w:val="a8"/>
          <w:rFonts w:ascii="楷体" w:eastAsia="楷体" w:hAnsi="楷体" w:hint="eastAsia"/>
          <w:spacing w:val="-4"/>
          <w:sz w:val="32"/>
          <w:szCs w:val="32"/>
        </w:rPr>
        <w:t>行业稳定安全发展提供技术支撑。</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二、各部负责参加国家及内地省（区、市）组织的（油气、煤炭、电力等行业）各类会议和培训，赴内地省（区、市）交流学习能源智慧化建设的成功经验以及能耗在线监测系统建设和运行经验。</w:t>
      </w:r>
      <w:r>
        <w:rPr>
          <w:rStyle w:val="a8"/>
          <w:rFonts w:ascii="楷体" w:eastAsia="楷体" w:hAnsi="楷体" w:hint="eastAsia"/>
          <w:spacing w:val="-4"/>
          <w:sz w:val="32"/>
          <w:szCs w:val="32"/>
        </w:rPr>
        <w:cr/>
      </w:r>
      <w:r>
        <w:rPr>
          <w:rStyle w:val="a8"/>
          <w:rFonts w:ascii="楷体" w:eastAsia="楷体" w:hAnsi="楷体" w:hint="eastAsia"/>
          <w:spacing w:val="-4"/>
          <w:sz w:val="32"/>
          <w:szCs w:val="32"/>
        </w:rPr>
        <w:lastRenderedPageBreak/>
        <w:br/>
        <w:t>2.</w:t>
      </w:r>
      <w:r>
        <w:rPr>
          <w:rStyle w:val="a8"/>
          <w:rFonts w:ascii="楷体" w:eastAsia="楷体" w:hAnsi="楷体" w:hint="eastAsia"/>
          <w:spacing w:val="-4"/>
          <w:sz w:val="32"/>
          <w:szCs w:val="32"/>
        </w:rPr>
        <w:t>阶段性目标</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扎实开展能源行业建设运行和能源重点项目投资建设监测分析工作。一是加强与自治区相关厅局、能源企业以及委内处室的联系，收集统计国家、自治区有关部门、机构、企业油气生产运行、油气管道保护，煤炭领域生产运行以及电力行业生产运行和电力安全相关数据信息，二是开展分析研判、监测预警工作，按月编制油</w:t>
      </w:r>
      <w:r>
        <w:rPr>
          <w:rStyle w:val="a8"/>
          <w:rFonts w:ascii="楷体" w:eastAsia="楷体" w:hAnsi="楷体" w:hint="eastAsia"/>
          <w:spacing w:val="-4"/>
          <w:sz w:val="32"/>
          <w:szCs w:val="32"/>
        </w:rPr>
        <w:t>气、煤炭、电力监测分析报告，汇总编制《能源建设运行监测分析报告》，本年度预计可完成全部</w:t>
      </w:r>
      <w:r>
        <w:rPr>
          <w:rStyle w:val="a8"/>
          <w:rFonts w:ascii="楷体" w:eastAsia="楷体" w:hAnsi="楷体" w:hint="eastAsia"/>
          <w:spacing w:val="-4"/>
          <w:sz w:val="32"/>
          <w:szCs w:val="32"/>
        </w:rPr>
        <w:t>12</w:t>
      </w:r>
      <w:r>
        <w:rPr>
          <w:rStyle w:val="a8"/>
          <w:rFonts w:ascii="楷体" w:eastAsia="楷体" w:hAnsi="楷体" w:hint="eastAsia"/>
          <w:spacing w:val="-4"/>
          <w:sz w:val="32"/>
          <w:szCs w:val="32"/>
        </w:rPr>
        <w:t>期监测分析报告，为能源相关部门开展工作提供建议和参考。三是参加国家及内地省（区、市）组织的（油气、煤炭、电力等行业）各类会议和培训</w:t>
      </w:r>
      <w:r>
        <w:rPr>
          <w:rStyle w:val="a8"/>
          <w:rFonts w:ascii="楷体" w:eastAsia="楷体" w:hAnsi="楷体" w:hint="eastAsia"/>
          <w:spacing w:val="-4"/>
          <w:sz w:val="32"/>
          <w:szCs w:val="32"/>
        </w:rPr>
        <w:t>18</w:t>
      </w:r>
      <w:r>
        <w:rPr>
          <w:rStyle w:val="a8"/>
          <w:rFonts w:ascii="楷体" w:eastAsia="楷体" w:hAnsi="楷体" w:hint="eastAsia"/>
          <w:spacing w:val="-4"/>
          <w:sz w:val="32"/>
          <w:szCs w:val="32"/>
        </w:rPr>
        <w:t>人次。</w:t>
      </w:r>
    </w:p>
    <w:p w:rsidR="000402D2" w:rsidRDefault="003C1AA4">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w:t>
      </w:r>
      <w:r>
        <w:rPr>
          <w:rStyle w:val="a8"/>
          <w:rFonts w:hint="eastAsia"/>
          <w:spacing w:val="-4"/>
          <w:sz w:val="32"/>
          <w:szCs w:val="32"/>
        </w:rPr>
        <w:t>绩效评价工作开展情况</w:t>
      </w:r>
    </w:p>
    <w:p w:rsidR="000402D2" w:rsidRDefault="003C1AA4">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0402D2" w:rsidRDefault="003C1AA4">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t xml:space="preserve">1. </w:t>
      </w:r>
      <w:r>
        <w:rPr>
          <w:rStyle w:val="a8"/>
          <w:rFonts w:ascii="楷体" w:eastAsia="楷体" w:hAnsi="楷体" w:hint="eastAsia"/>
          <w:spacing w:val="-4"/>
          <w:sz w:val="32"/>
          <w:szCs w:val="32"/>
        </w:rPr>
        <w:t>绩效评价目的</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本次绩效评价遵循财政部《项目支出绩效评价管理办法》（财预〔</w:t>
      </w:r>
      <w:r>
        <w:rPr>
          <w:rStyle w:val="a8"/>
          <w:rFonts w:ascii="楷体" w:eastAsia="楷体" w:hAnsi="楷体" w:hint="eastAsia"/>
          <w:spacing w:val="-4"/>
          <w:sz w:val="32"/>
          <w:szCs w:val="32"/>
        </w:rPr>
        <w:t>2020</w:t>
      </w:r>
      <w:r>
        <w:rPr>
          <w:rStyle w:val="a8"/>
          <w:rFonts w:ascii="楷体" w:eastAsia="楷体" w:hAnsi="楷体" w:hint="eastAsia"/>
          <w:spacing w:val="-4"/>
          <w:sz w:val="32"/>
          <w:szCs w:val="32"/>
        </w:rPr>
        <w:t>〕</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号）和自治区财政厅《自治区财政支出绩效评价管理暂行办法》（新财预〔</w:t>
      </w:r>
      <w:r>
        <w:rPr>
          <w:rStyle w:val="a8"/>
          <w:rFonts w:ascii="楷体" w:eastAsia="楷体" w:hAnsi="楷体" w:hint="eastAsia"/>
          <w:spacing w:val="-4"/>
          <w:sz w:val="32"/>
          <w:szCs w:val="32"/>
        </w:rPr>
        <w:t>2018</w:t>
      </w:r>
      <w:r>
        <w:rPr>
          <w:rStyle w:val="a8"/>
          <w:rFonts w:ascii="楷体" w:eastAsia="楷体" w:hAnsi="楷体" w:hint="eastAsia"/>
          <w:spacing w:val="-4"/>
          <w:sz w:val="32"/>
          <w:szCs w:val="32"/>
        </w:rPr>
        <w:t>〕</w:t>
      </w:r>
      <w:r>
        <w:rPr>
          <w:rStyle w:val="a8"/>
          <w:rFonts w:ascii="楷体" w:eastAsia="楷体" w:hAnsi="楷体" w:hint="eastAsia"/>
          <w:spacing w:val="-4"/>
          <w:sz w:val="32"/>
          <w:szCs w:val="32"/>
        </w:rPr>
        <w:t>189</w:t>
      </w:r>
      <w:r>
        <w:rPr>
          <w:rStyle w:val="a8"/>
          <w:rFonts w:ascii="楷体" w:eastAsia="楷体" w:hAnsi="楷体" w:hint="eastAsia"/>
          <w:spacing w:val="-4"/>
          <w:sz w:val="32"/>
          <w:szCs w:val="32"/>
        </w:rPr>
        <w:t>号）等相关</w:t>
      </w:r>
      <w:r>
        <w:rPr>
          <w:rStyle w:val="a8"/>
          <w:rFonts w:ascii="楷体" w:eastAsia="楷体" w:hAnsi="楷体" w:hint="eastAsia"/>
          <w:spacing w:val="-4"/>
          <w:sz w:val="32"/>
          <w:szCs w:val="32"/>
        </w:rPr>
        <w:t>政策文件与规定，旨在评价财政项目实施前期、过程及效果，评价财政预算资金使用的效率及效益。</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评审提供充分有效的依据，以达到改进预算管理、优化资源配置、提高预算资金使用效益的目的。</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t xml:space="preserve">2. </w:t>
      </w:r>
      <w:r>
        <w:rPr>
          <w:rStyle w:val="a8"/>
          <w:rFonts w:ascii="楷体" w:eastAsia="楷体" w:hAnsi="楷体" w:hint="eastAsia"/>
          <w:spacing w:val="-4"/>
          <w:sz w:val="32"/>
          <w:szCs w:val="32"/>
        </w:rPr>
        <w:t>绩效评价对象</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本次绩效评价遵循财政部《项目支出绩效评价管理办法》（财预〔</w:t>
      </w:r>
      <w:r>
        <w:rPr>
          <w:rStyle w:val="a8"/>
          <w:rFonts w:ascii="楷体" w:eastAsia="楷体" w:hAnsi="楷体" w:hint="eastAsia"/>
          <w:spacing w:val="-4"/>
          <w:sz w:val="32"/>
          <w:szCs w:val="32"/>
        </w:rPr>
        <w:t>2020</w:t>
      </w:r>
      <w:r>
        <w:rPr>
          <w:rStyle w:val="a8"/>
          <w:rFonts w:ascii="楷体" w:eastAsia="楷体" w:hAnsi="楷体" w:hint="eastAsia"/>
          <w:spacing w:val="-4"/>
          <w:sz w:val="32"/>
          <w:szCs w:val="32"/>
        </w:rPr>
        <w:t>〕</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号）等相关政策文件与规定，以能源建</w:t>
      </w:r>
      <w:r>
        <w:rPr>
          <w:rStyle w:val="a8"/>
          <w:rFonts w:ascii="楷体" w:eastAsia="楷体" w:hAnsi="楷体" w:hint="eastAsia"/>
          <w:spacing w:val="-4"/>
          <w:sz w:val="32"/>
          <w:szCs w:val="32"/>
        </w:rPr>
        <w:t>设运行监测评价专项业务费支出为对象所对应的财政预算资金，以项目实施所带来的产出和效果为主要内容，以促进预算单位完成特定工作任务目标所组织开展的绩效评价。</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t xml:space="preserve">3. </w:t>
      </w:r>
      <w:r>
        <w:rPr>
          <w:rStyle w:val="a8"/>
          <w:rFonts w:ascii="楷体" w:eastAsia="楷体" w:hAnsi="楷体" w:hint="eastAsia"/>
          <w:spacing w:val="-4"/>
          <w:sz w:val="32"/>
          <w:szCs w:val="32"/>
        </w:rPr>
        <w:t>绩效评价范围</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本次评价范围涵盖项目总体绩效目标、各项绩效指标完成情况以及预算执行情况。覆盖项目预算资金支出的所有内容进行评价。包括项目决策、过程、项目实施和项目成果验收流程、项目达到的效益等。</w:t>
      </w:r>
    </w:p>
    <w:p w:rsidR="000402D2" w:rsidRDefault="003C1AA4">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（二）绩效评价原则、评价指标体系（附表说明）、评价方法、评价标准等。</w:t>
      </w:r>
    </w:p>
    <w:p w:rsidR="000402D2" w:rsidRDefault="003C1AA4">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（二）绩效评价原则、评价指标体系、评价方法评价标准</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 xml:space="preserve">1. </w:t>
      </w:r>
      <w:r>
        <w:rPr>
          <w:rStyle w:val="a8"/>
          <w:rFonts w:ascii="楷体" w:eastAsia="楷体" w:hAnsi="楷体" w:hint="eastAsia"/>
          <w:spacing w:val="-4"/>
          <w:sz w:val="32"/>
          <w:szCs w:val="32"/>
        </w:rPr>
        <w:t>绩效评价原则</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本次绩效</w:t>
      </w:r>
      <w:r>
        <w:rPr>
          <w:rStyle w:val="a8"/>
          <w:rFonts w:ascii="楷体" w:eastAsia="楷体" w:hAnsi="楷体" w:hint="eastAsia"/>
          <w:spacing w:val="-4"/>
          <w:sz w:val="32"/>
          <w:szCs w:val="32"/>
        </w:rPr>
        <w:t>评价遵循的原则包括：</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）科学公正。绩效评价应当运用科学合理的方法，按照规范的程序，对项目绩效进行客观、公正的反映。</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3</w:t>
      </w:r>
      <w:r>
        <w:rPr>
          <w:rStyle w:val="a8"/>
          <w:rFonts w:ascii="楷体" w:eastAsia="楷体" w:hAnsi="楷体" w:hint="eastAsia"/>
          <w:spacing w:val="-4"/>
          <w:sz w:val="32"/>
          <w:szCs w:val="32"/>
        </w:rPr>
        <w:t>）激励约束。绩效评价结果应与预算安排、政策调整、改进管理实质性挂钩，体现奖优罚劣和激励相容导向，有效要安排、低效要压减、无效要问责。</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4</w:t>
      </w:r>
      <w:r>
        <w:rPr>
          <w:rStyle w:val="a8"/>
          <w:rFonts w:ascii="楷体" w:eastAsia="楷体" w:hAnsi="楷体" w:hint="eastAsia"/>
          <w:spacing w:val="-4"/>
          <w:sz w:val="32"/>
          <w:szCs w:val="32"/>
        </w:rPr>
        <w:t>）公开透明。绩效评价结果应依法依规公开，</w:t>
      </w:r>
      <w:r>
        <w:rPr>
          <w:rStyle w:val="a8"/>
          <w:rFonts w:ascii="楷体" w:eastAsia="楷体" w:hAnsi="楷体" w:hint="eastAsia"/>
          <w:spacing w:val="-4"/>
          <w:sz w:val="32"/>
          <w:szCs w:val="32"/>
        </w:rPr>
        <w:t>并自觉接受社会监督。</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t xml:space="preserve">2. </w:t>
      </w:r>
      <w:r>
        <w:rPr>
          <w:rStyle w:val="a8"/>
          <w:rFonts w:ascii="楷体" w:eastAsia="楷体" w:hAnsi="楷体" w:hint="eastAsia"/>
          <w:spacing w:val="-4"/>
          <w:sz w:val="32"/>
          <w:szCs w:val="32"/>
        </w:rPr>
        <w:t>绩效评价指标体系</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绩效评价指标体系根据《预算绩效评价共性指标体系框架》（财预〔</w:t>
      </w:r>
      <w:r>
        <w:rPr>
          <w:rStyle w:val="a8"/>
          <w:rFonts w:ascii="楷体" w:eastAsia="楷体" w:hAnsi="楷体" w:hint="eastAsia"/>
          <w:spacing w:val="-4"/>
          <w:sz w:val="32"/>
          <w:szCs w:val="32"/>
        </w:rPr>
        <w:t>2013</w:t>
      </w:r>
      <w:r>
        <w:rPr>
          <w:rStyle w:val="a8"/>
          <w:rFonts w:ascii="楷体" w:eastAsia="楷体" w:hAnsi="楷体" w:hint="eastAsia"/>
          <w:spacing w:val="-4"/>
          <w:sz w:val="32"/>
          <w:szCs w:val="32"/>
        </w:rPr>
        <w:t>〕</w:t>
      </w:r>
      <w:r>
        <w:rPr>
          <w:rStyle w:val="a8"/>
          <w:rFonts w:ascii="楷体" w:eastAsia="楷体" w:hAnsi="楷体" w:hint="eastAsia"/>
          <w:spacing w:val="-4"/>
          <w:sz w:val="32"/>
          <w:szCs w:val="32"/>
        </w:rPr>
        <w:t>53</w:t>
      </w:r>
      <w:r>
        <w:rPr>
          <w:rStyle w:val="a8"/>
          <w:rFonts w:ascii="楷体" w:eastAsia="楷体" w:hAnsi="楷体" w:hint="eastAsia"/>
          <w:spacing w:val="-4"/>
          <w:sz w:val="32"/>
          <w:szCs w:val="32"/>
        </w:rPr>
        <w:t>号）、《自治区党委</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自治区人民政府关于全面实施预算绩效管理的实施意见》（新党发〔</w:t>
      </w:r>
      <w:r>
        <w:rPr>
          <w:rStyle w:val="a8"/>
          <w:rFonts w:ascii="楷体" w:eastAsia="楷体" w:hAnsi="楷体" w:hint="eastAsia"/>
          <w:spacing w:val="-4"/>
          <w:sz w:val="32"/>
          <w:szCs w:val="32"/>
        </w:rPr>
        <w:t>2018</w:t>
      </w:r>
      <w:r>
        <w:rPr>
          <w:rStyle w:val="a8"/>
          <w:rFonts w:ascii="楷体" w:eastAsia="楷体" w:hAnsi="楷体" w:hint="eastAsia"/>
          <w:spacing w:val="-4"/>
          <w:sz w:val="32"/>
          <w:szCs w:val="32"/>
        </w:rPr>
        <w:t>〕</w:t>
      </w:r>
      <w:r>
        <w:rPr>
          <w:rStyle w:val="a8"/>
          <w:rFonts w:ascii="楷体" w:eastAsia="楷体" w:hAnsi="楷体" w:hint="eastAsia"/>
          <w:spacing w:val="-4"/>
          <w:sz w:val="32"/>
          <w:szCs w:val="32"/>
        </w:rPr>
        <w:t>30</w:t>
      </w:r>
      <w:r>
        <w:rPr>
          <w:rStyle w:val="a8"/>
          <w:rFonts w:ascii="楷体" w:eastAsia="楷体" w:hAnsi="楷体" w:hint="eastAsia"/>
          <w:spacing w:val="-4"/>
          <w:sz w:val="32"/>
          <w:szCs w:val="32"/>
        </w:rPr>
        <w:t>号）、《关于印发</w:t>
      </w:r>
      <w:r>
        <w:rPr>
          <w:rStyle w:val="a8"/>
          <w:rFonts w:ascii="楷体" w:eastAsia="楷体" w:hAnsi="楷体" w:hint="eastAsia"/>
          <w:spacing w:val="-4"/>
          <w:sz w:val="32"/>
          <w:szCs w:val="32"/>
        </w:rPr>
        <w:t>&lt;</w:t>
      </w:r>
      <w:r>
        <w:rPr>
          <w:rStyle w:val="a8"/>
          <w:rFonts w:ascii="楷体" w:eastAsia="楷体" w:hAnsi="楷体" w:hint="eastAsia"/>
          <w:spacing w:val="-4"/>
          <w:sz w:val="32"/>
          <w:szCs w:val="32"/>
        </w:rPr>
        <w:t>项目支出绩效评价管理办法</w:t>
      </w:r>
      <w:r>
        <w:rPr>
          <w:rStyle w:val="a8"/>
          <w:rFonts w:ascii="楷体" w:eastAsia="楷体" w:hAnsi="楷体" w:hint="eastAsia"/>
          <w:spacing w:val="-4"/>
          <w:sz w:val="32"/>
          <w:szCs w:val="32"/>
        </w:rPr>
        <w:t>&gt;</w:t>
      </w:r>
      <w:r>
        <w:rPr>
          <w:rStyle w:val="a8"/>
          <w:rFonts w:ascii="楷体" w:eastAsia="楷体" w:hAnsi="楷体" w:hint="eastAsia"/>
          <w:spacing w:val="-4"/>
          <w:sz w:val="32"/>
          <w:szCs w:val="32"/>
        </w:rPr>
        <w:t>的通知》（财预﹝</w:t>
      </w:r>
      <w:r>
        <w:rPr>
          <w:rStyle w:val="a8"/>
          <w:rFonts w:ascii="楷体" w:eastAsia="楷体" w:hAnsi="楷体" w:hint="eastAsia"/>
          <w:spacing w:val="-4"/>
          <w:sz w:val="32"/>
          <w:szCs w:val="32"/>
        </w:rPr>
        <w:t>2020</w:t>
      </w:r>
      <w:r>
        <w:rPr>
          <w:rStyle w:val="a8"/>
          <w:rFonts w:ascii="楷体" w:eastAsia="楷体" w:hAnsi="楷体" w:hint="eastAsia"/>
          <w:spacing w:val="-4"/>
          <w:sz w:val="32"/>
          <w:szCs w:val="32"/>
        </w:rPr>
        <w:t>﹞</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号）等</w:t>
      </w:r>
      <w:r>
        <w:rPr>
          <w:rStyle w:val="a8"/>
          <w:rFonts w:ascii="楷体" w:eastAsia="楷体" w:hAnsi="楷体" w:hint="eastAsia"/>
          <w:spacing w:val="-4"/>
          <w:sz w:val="32"/>
          <w:szCs w:val="32"/>
        </w:rPr>
        <w:lastRenderedPageBreak/>
        <w:t>文件精神，结合专项特点，在与专家组、项目充分协商的基础上，评价工作组细化了该项目的绩效评价指标体系（详见附表</w:t>
      </w:r>
      <w:r>
        <w:rPr>
          <w:rStyle w:val="a8"/>
          <w:rFonts w:ascii="楷体" w:eastAsia="楷体" w:hAnsi="楷体" w:hint="eastAsia"/>
          <w:spacing w:val="-4"/>
          <w:sz w:val="32"/>
          <w:szCs w:val="32"/>
        </w:rPr>
        <w:t>1</w:t>
      </w:r>
      <w:r>
        <w:rPr>
          <w:rStyle w:val="a8"/>
          <w:rFonts w:ascii="楷体" w:eastAsia="楷体" w:hAnsi="楷体" w:hint="eastAsia"/>
          <w:spacing w:val="-4"/>
          <w:sz w:val="32"/>
          <w:szCs w:val="32"/>
        </w:rPr>
        <w:t>）：</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一级指标为：决策、过程、产出、效益。</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二级指标为：项目立项、绩效目标、资金投入、资金管理、组织</w:t>
      </w:r>
      <w:r>
        <w:rPr>
          <w:rStyle w:val="a8"/>
          <w:rFonts w:ascii="楷体" w:eastAsia="楷体" w:hAnsi="楷体" w:hint="eastAsia"/>
          <w:spacing w:val="-4"/>
          <w:sz w:val="32"/>
          <w:szCs w:val="32"/>
        </w:rPr>
        <w:t>实施、产出数量、产出质量、产出时效、产出成本、项目效益。</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t xml:space="preserve">3. </w:t>
      </w:r>
      <w:r>
        <w:rPr>
          <w:rStyle w:val="a8"/>
          <w:rFonts w:ascii="楷体" w:eastAsia="楷体" w:hAnsi="楷体" w:hint="eastAsia"/>
          <w:spacing w:val="-4"/>
          <w:sz w:val="32"/>
          <w:szCs w:val="32"/>
        </w:rPr>
        <w:t>绩效评价方法</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本次评价采用定量与定性评价相结合的比较法，公众评判法，总分由各项指标得分汇总形成。</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比较法：通过整理本项目相关资料和数据，评价数量指标的完成情况；通</w:t>
      </w:r>
      <w:r>
        <w:rPr>
          <w:rStyle w:val="a8"/>
          <w:rFonts w:ascii="楷体" w:eastAsia="楷体" w:hAnsi="楷体" w:hint="eastAsia"/>
          <w:spacing w:val="-4"/>
          <w:sz w:val="32"/>
          <w:szCs w:val="32"/>
        </w:rPr>
        <w:t>过分析项目的实施情况与绩效目标实现情况，评价项目实施的效果；通过分析项目资金使用情况及产生的效果，评价预算资金分配的合理性。</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cr/>
      </w:r>
      <w:r>
        <w:rPr>
          <w:rStyle w:val="a8"/>
          <w:rFonts w:ascii="楷体" w:eastAsia="楷体" w:hAnsi="楷体" w:hint="eastAsia"/>
          <w:spacing w:val="-4"/>
          <w:sz w:val="32"/>
          <w:szCs w:val="32"/>
        </w:rPr>
        <w:lastRenderedPageBreak/>
        <w:br/>
      </w:r>
      <w:r>
        <w:rPr>
          <w:rStyle w:val="a8"/>
          <w:rFonts w:ascii="楷体" w:eastAsia="楷体" w:hAnsi="楷体" w:hint="eastAsia"/>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t xml:space="preserve">4. </w:t>
      </w:r>
      <w:r>
        <w:rPr>
          <w:rStyle w:val="a8"/>
          <w:rFonts w:ascii="楷体" w:eastAsia="楷体" w:hAnsi="楷体" w:hint="eastAsia"/>
          <w:spacing w:val="-4"/>
          <w:sz w:val="32"/>
          <w:szCs w:val="32"/>
        </w:rPr>
        <w:t>绩效评价标准</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本项目评价指标体系的评价标准按照计划标准、行业标准、历史标准等制定。对于定性指标，通过问卷调查及访谈方式，采集相关数据，运用等级描述法，设置分级标准，体</w:t>
      </w:r>
      <w:r>
        <w:rPr>
          <w:rStyle w:val="a8"/>
          <w:rFonts w:ascii="楷体" w:eastAsia="楷体" w:hAnsi="楷体" w:hint="eastAsia"/>
          <w:spacing w:val="-4"/>
          <w:sz w:val="32"/>
          <w:szCs w:val="32"/>
        </w:rPr>
        <w:t>现该指标认可程度的差异。对于定量指标，通过公式等方式予以量化，可以准确衡量，并设定目标值的考核指标。绩效评价体系、标准等详见（附件</w:t>
      </w:r>
      <w:r>
        <w:rPr>
          <w:rStyle w:val="a8"/>
          <w:rFonts w:ascii="楷体" w:eastAsia="楷体" w:hAnsi="楷体" w:hint="eastAsia"/>
          <w:spacing w:val="-4"/>
          <w:sz w:val="32"/>
          <w:szCs w:val="32"/>
        </w:rPr>
        <w:t>1</w:t>
      </w:r>
      <w:r>
        <w:rPr>
          <w:rStyle w:val="a8"/>
          <w:rFonts w:ascii="楷体" w:eastAsia="楷体" w:hAnsi="楷体" w:hint="eastAsia"/>
          <w:spacing w:val="-4"/>
          <w:sz w:val="32"/>
          <w:szCs w:val="32"/>
        </w:rPr>
        <w:t>）。</w:t>
      </w:r>
    </w:p>
    <w:p w:rsidR="000402D2" w:rsidRDefault="003C1AA4">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0402D2" w:rsidRDefault="003C1AA4">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第一阶段：前期准备。</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我中心绩效评价人员根据《项目支出绩效评价管理办法》（财预〔</w:t>
      </w:r>
      <w:r>
        <w:rPr>
          <w:rStyle w:val="a8"/>
          <w:rFonts w:ascii="楷体" w:eastAsia="楷体" w:hAnsi="楷体" w:hint="eastAsia"/>
          <w:spacing w:val="-4"/>
          <w:sz w:val="32"/>
          <w:szCs w:val="32"/>
        </w:rPr>
        <w:t>2020</w:t>
      </w:r>
      <w:r>
        <w:rPr>
          <w:rStyle w:val="a8"/>
          <w:rFonts w:ascii="楷体" w:eastAsia="楷体" w:hAnsi="楷体" w:hint="eastAsia"/>
          <w:spacing w:val="-4"/>
          <w:sz w:val="32"/>
          <w:szCs w:val="32"/>
        </w:rPr>
        <w:t>〕</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号）文件精神认真学习相关要求与规定，成立绩效评价工作组，作为绩效评价工作具体实施机构。成员构成如下：</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吴迪任评价组组长，绩效评价工作职责为负责全盘工作。</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薛继武任评价组副组长，绩效评价工作职责为为对项目实施情况进行实地调查</w:t>
      </w:r>
      <w:r>
        <w:rPr>
          <w:rStyle w:val="a8"/>
          <w:rFonts w:ascii="楷体" w:eastAsia="楷体" w:hAnsi="楷体" w:hint="eastAsia"/>
          <w:spacing w:val="-4"/>
          <w:sz w:val="32"/>
          <w:szCs w:val="32"/>
        </w:rPr>
        <w:t>。</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黄亮、马莉、石阳、马健任评价组成员，绩效评价工作职责为负责资料审核等工作。</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第二阶段：组织实施。</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经评价组通过实地调研、查阅资料等方式，采用综合分析法对项目的决策、管理、绩效进行的综合评价分析。</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第三阶段：分析评价。</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首先按照指标体系进行定量、定性分析。其次开展量化打分、综合评价工作，形成初步评价结论。最后归纳整体项目情况与存在问题，撰写部门绩效评价报告。</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第四阶段：撰写与提交评价报告</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项目撰写绩效评价报告，按照财政局大平台绩效系统中统一格式和文本框架撰写绩效评价报告。</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第五阶段：归集档</w:t>
      </w:r>
      <w:r>
        <w:rPr>
          <w:rStyle w:val="a8"/>
          <w:rFonts w:ascii="楷体" w:eastAsia="楷体" w:hAnsi="楷体" w:hint="eastAsia"/>
          <w:spacing w:val="-4"/>
          <w:sz w:val="32"/>
          <w:szCs w:val="32"/>
        </w:rPr>
        <w:t>案</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建立和落实档案管理制度，将项目相关资料存档，包括但不限</w:t>
      </w:r>
      <w:r>
        <w:rPr>
          <w:rStyle w:val="a8"/>
          <w:rFonts w:ascii="楷体" w:eastAsia="楷体" w:hAnsi="楷体" w:hint="eastAsia"/>
          <w:spacing w:val="-4"/>
          <w:sz w:val="32"/>
          <w:szCs w:val="32"/>
        </w:rPr>
        <w:lastRenderedPageBreak/>
        <w:t>于：评价项目基本情况和相关文件、评价实施方案、项目支付资料等相关档案。</w:t>
      </w:r>
    </w:p>
    <w:p w:rsidR="000402D2" w:rsidRDefault="003C1AA4">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w:t>
      </w:r>
      <w:r>
        <w:rPr>
          <w:rStyle w:val="a8"/>
          <w:rFonts w:hint="eastAsia"/>
          <w:spacing w:val="-4"/>
          <w:sz w:val="32"/>
          <w:szCs w:val="32"/>
        </w:rPr>
        <w:t>综合评价情况及评价结论</w:t>
      </w:r>
    </w:p>
    <w:p w:rsidR="000402D2" w:rsidRDefault="003C1AA4">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（一）综合评价情况</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能源建设运行监测评价专项业务费总体组织规范，完成了项目的工作目标，有效规范了项目档案资料的整理，促进了自治区经济高质量发展。</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在项目决策方面，项目申请前期立项程序规范，项目严格按照规定的程序申请设立，项目立项依据充分，立项程序规范。</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项目管理方面，</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年本项目预算安排</w:t>
      </w:r>
      <w:r>
        <w:rPr>
          <w:rStyle w:val="a8"/>
          <w:rFonts w:ascii="楷体" w:eastAsia="楷体" w:hAnsi="楷体" w:hint="eastAsia"/>
          <w:spacing w:val="-4"/>
          <w:sz w:val="32"/>
          <w:szCs w:val="32"/>
        </w:rPr>
        <w:t>28</w:t>
      </w:r>
      <w:r>
        <w:rPr>
          <w:rStyle w:val="a8"/>
          <w:rFonts w:ascii="楷体" w:eastAsia="楷体" w:hAnsi="楷体" w:hint="eastAsia"/>
          <w:spacing w:val="-4"/>
          <w:sz w:val="32"/>
          <w:szCs w:val="32"/>
        </w:rPr>
        <w:t>万元，实际支出</w:t>
      </w:r>
      <w:r>
        <w:rPr>
          <w:rStyle w:val="a8"/>
          <w:rFonts w:ascii="楷体" w:eastAsia="楷体" w:hAnsi="楷体" w:hint="eastAsia"/>
          <w:spacing w:val="-4"/>
          <w:sz w:val="32"/>
          <w:szCs w:val="32"/>
        </w:rPr>
        <w:t>28</w:t>
      </w:r>
      <w:r>
        <w:rPr>
          <w:rStyle w:val="a8"/>
          <w:rFonts w:ascii="楷体" w:eastAsia="楷体" w:hAnsi="楷体" w:hint="eastAsia"/>
          <w:spacing w:val="-4"/>
          <w:sz w:val="32"/>
          <w:szCs w:val="32"/>
        </w:rPr>
        <w:t>万元，预算执行率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。项目资金使用合规，项目财务管理制度健全，财务监控到位，所有资金支付均按照国库集中支付制度严格执行，现有项目管理制度执行情况良好。</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项目产出方面：紧扣各个环节，逐步推进，及时与职能部门跟踪项目进展，加强项目督办，充分调动职能部门的积极性，加大项目投入工作的力度，加快项目实施进度，确保项目严格按照年度预期目标执行。</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项目效益方面：按预定目标完成了年初所设定的各项指标。专项经费实际支出未超出预算规定，保障了专项工作的开展。项</w:t>
      </w:r>
      <w:r>
        <w:rPr>
          <w:rStyle w:val="a8"/>
          <w:rFonts w:ascii="楷体" w:eastAsia="楷体" w:hAnsi="楷体" w:hint="eastAsia"/>
          <w:spacing w:val="-4"/>
          <w:sz w:val="32"/>
          <w:szCs w:val="32"/>
        </w:rPr>
        <w:t>目的实施有效提升了工作人员的监督管理业务水平。</w:t>
      </w:r>
      <w:r>
        <w:rPr>
          <w:rStyle w:val="a8"/>
          <w:rFonts w:ascii="楷体" w:eastAsia="楷体" w:hAnsi="楷体" w:hint="eastAsia"/>
          <w:spacing w:val="-4"/>
          <w:sz w:val="32"/>
          <w:szCs w:val="32"/>
        </w:rPr>
        <w:cr/>
      </w:r>
      <w:r>
        <w:rPr>
          <w:rStyle w:val="a8"/>
          <w:rFonts w:ascii="楷体" w:eastAsia="楷体" w:hAnsi="楷体" w:hint="eastAsia"/>
          <w:spacing w:val="-4"/>
          <w:sz w:val="32"/>
          <w:szCs w:val="32"/>
        </w:rPr>
        <w:lastRenderedPageBreak/>
        <w:br/>
      </w:r>
      <w:r>
        <w:rPr>
          <w:rStyle w:val="a8"/>
          <w:rFonts w:ascii="楷体" w:eastAsia="楷体" w:hAnsi="楷体" w:hint="eastAsia"/>
          <w:spacing w:val="-4"/>
          <w:sz w:val="32"/>
          <w:szCs w:val="32"/>
        </w:rPr>
        <w:t>（二）综合评价结论</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运用项目组制定评价指标体系及财政部《项目支出绩效评价管理办法》（财预〔</w:t>
      </w:r>
      <w:r>
        <w:rPr>
          <w:rStyle w:val="a8"/>
          <w:rFonts w:ascii="楷体" w:eastAsia="楷体" w:hAnsi="楷体" w:hint="eastAsia"/>
          <w:spacing w:val="-4"/>
          <w:sz w:val="32"/>
          <w:szCs w:val="32"/>
        </w:rPr>
        <w:t>2020</w:t>
      </w:r>
      <w:r>
        <w:rPr>
          <w:rStyle w:val="a8"/>
          <w:rFonts w:ascii="楷体" w:eastAsia="楷体" w:hAnsi="楷体" w:hint="eastAsia"/>
          <w:spacing w:val="-4"/>
          <w:sz w:val="32"/>
          <w:szCs w:val="32"/>
        </w:rPr>
        <w:t>〕</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号）文件评分标准进行评价，该项目最终评分</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分，绩效评级为“优”，具体得分情况为：项目决策</w:t>
      </w:r>
      <w:r>
        <w:rPr>
          <w:rStyle w:val="a8"/>
          <w:rFonts w:ascii="楷体" w:eastAsia="楷体" w:hAnsi="楷体" w:hint="eastAsia"/>
          <w:spacing w:val="-4"/>
          <w:sz w:val="32"/>
          <w:szCs w:val="32"/>
        </w:rPr>
        <w:t>30</w:t>
      </w:r>
      <w:r>
        <w:rPr>
          <w:rStyle w:val="a8"/>
          <w:rFonts w:ascii="楷体" w:eastAsia="楷体" w:hAnsi="楷体" w:hint="eastAsia"/>
          <w:spacing w:val="-4"/>
          <w:sz w:val="32"/>
          <w:szCs w:val="32"/>
        </w:rPr>
        <w:t>分、项目过程</w:t>
      </w:r>
      <w:r>
        <w:rPr>
          <w:rStyle w:val="a8"/>
          <w:rFonts w:ascii="楷体" w:eastAsia="楷体" w:hAnsi="楷体" w:hint="eastAsia"/>
          <w:spacing w:val="-4"/>
          <w:sz w:val="32"/>
          <w:szCs w:val="32"/>
        </w:rPr>
        <w:t>30</w:t>
      </w:r>
      <w:r>
        <w:rPr>
          <w:rStyle w:val="a8"/>
          <w:rFonts w:ascii="楷体" w:eastAsia="楷体" w:hAnsi="楷体" w:hint="eastAsia"/>
          <w:spacing w:val="-4"/>
          <w:sz w:val="32"/>
          <w:szCs w:val="32"/>
        </w:rPr>
        <w:t>分、项目产出</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分、项目效益</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w:t>
      </w:r>
    </w:p>
    <w:p w:rsidR="000402D2" w:rsidRDefault="003C1AA4">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w:t>
      </w:r>
      <w:r>
        <w:rPr>
          <w:rStyle w:val="a8"/>
          <w:rFonts w:hint="eastAsia"/>
          <w:spacing w:val="-4"/>
          <w:sz w:val="32"/>
          <w:szCs w:val="32"/>
        </w:rPr>
        <w:t>绩效评价指标分析</w:t>
      </w:r>
      <w:r>
        <w:rPr>
          <w:rStyle w:val="a8"/>
          <w:rFonts w:ascii="黑体" w:eastAsia="黑体" w:hAnsi="黑体" w:hint="eastAsia"/>
          <w:b w:val="0"/>
          <w:spacing w:val="-4"/>
          <w:sz w:val="32"/>
          <w:szCs w:val="32"/>
        </w:rPr>
        <w:t xml:space="preserve"> </w:t>
      </w:r>
    </w:p>
    <w:p w:rsidR="000402D2" w:rsidRDefault="003C1AA4">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rsidR="000402D2" w:rsidRDefault="003C1AA4">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（一）项目决策情况</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项目决策类指标包括项目立项、绩效目标和资金投入三方面的内容，由</w:t>
      </w:r>
      <w:r>
        <w:rPr>
          <w:rStyle w:val="a8"/>
          <w:rFonts w:ascii="楷体" w:eastAsia="楷体" w:hAnsi="楷体" w:hint="eastAsia"/>
          <w:spacing w:val="-4"/>
          <w:sz w:val="32"/>
          <w:szCs w:val="32"/>
        </w:rPr>
        <w:t>8</w:t>
      </w:r>
      <w:r>
        <w:rPr>
          <w:rStyle w:val="a8"/>
          <w:rFonts w:ascii="楷体" w:eastAsia="楷体" w:hAnsi="楷体" w:hint="eastAsia"/>
          <w:spacing w:val="-4"/>
          <w:sz w:val="32"/>
          <w:szCs w:val="32"/>
        </w:rPr>
        <w:t>个三级指标构成，权重分为</w:t>
      </w:r>
      <w:r>
        <w:rPr>
          <w:rStyle w:val="a8"/>
          <w:rFonts w:ascii="楷体" w:eastAsia="楷体" w:hAnsi="楷体" w:hint="eastAsia"/>
          <w:spacing w:val="-4"/>
          <w:sz w:val="32"/>
          <w:szCs w:val="32"/>
        </w:rPr>
        <w:t xml:space="preserve"> 30 </w:t>
      </w:r>
      <w:r>
        <w:rPr>
          <w:rStyle w:val="a8"/>
          <w:rFonts w:ascii="楷体" w:eastAsia="楷体" w:hAnsi="楷体" w:hint="eastAsia"/>
          <w:spacing w:val="-4"/>
          <w:sz w:val="32"/>
          <w:szCs w:val="32"/>
        </w:rPr>
        <w:t>分，实际得分</w:t>
      </w:r>
      <w:r>
        <w:rPr>
          <w:rStyle w:val="a8"/>
          <w:rFonts w:ascii="楷体" w:eastAsia="楷体" w:hAnsi="楷体" w:hint="eastAsia"/>
          <w:spacing w:val="-4"/>
          <w:sz w:val="32"/>
          <w:szCs w:val="32"/>
        </w:rPr>
        <w:t>30</w:t>
      </w:r>
      <w:r>
        <w:rPr>
          <w:rStyle w:val="a8"/>
          <w:rFonts w:ascii="楷体" w:eastAsia="楷体" w:hAnsi="楷体" w:hint="eastAsia"/>
          <w:spacing w:val="-4"/>
          <w:sz w:val="32"/>
          <w:szCs w:val="32"/>
        </w:rPr>
        <w:t>分，得分率为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）立项依据充分性：本项目根据自治区党委机构编制委员会《关于印发新疆维吾尔自治区能源安全监测中心职能配置、内设机构及人员编制规定的通知》（新党编委〔</w:t>
      </w:r>
      <w:r>
        <w:rPr>
          <w:rStyle w:val="a8"/>
          <w:rFonts w:ascii="楷体" w:eastAsia="楷体" w:hAnsi="楷体" w:hint="eastAsia"/>
          <w:spacing w:val="-4"/>
          <w:sz w:val="32"/>
          <w:szCs w:val="32"/>
        </w:rPr>
        <w:t>2020</w:t>
      </w:r>
      <w:r>
        <w:rPr>
          <w:rStyle w:val="a8"/>
          <w:rFonts w:ascii="楷体" w:eastAsia="楷体" w:hAnsi="楷体" w:hint="eastAsia"/>
          <w:spacing w:val="-4"/>
          <w:sz w:val="32"/>
          <w:szCs w:val="32"/>
        </w:rPr>
        <w:t>〕</w:t>
      </w:r>
      <w:r>
        <w:rPr>
          <w:rStyle w:val="a8"/>
          <w:rFonts w:ascii="楷体" w:eastAsia="楷体" w:hAnsi="楷体" w:hint="eastAsia"/>
          <w:spacing w:val="-4"/>
          <w:sz w:val="32"/>
          <w:szCs w:val="32"/>
        </w:rPr>
        <w:t>12</w:t>
      </w:r>
      <w:r>
        <w:rPr>
          <w:rStyle w:val="a8"/>
          <w:rFonts w:ascii="楷体" w:eastAsia="楷体" w:hAnsi="楷体" w:hint="eastAsia"/>
          <w:spacing w:val="-4"/>
          <w:sz w:val="32"/>
          <w:szCs w:val="32"/>
        </w:rPr>
        <w:t>号）文件精神，开展自治区能源重点项目建设信息统计分析、监测以及工程质量监督管理等工作。部门项目的立项依据充分，符合相关法规政策及部门职责。符合行业发展和政策要求，与部门职责范围相符，属于部门履职所需。符合中央、地方事权支出责任划分原则。该指标不扣分，得</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）立项程序规范性：依据编制工作计划和经费预算，经过与</w:t>
      </w:r>
      <w:r>
        <w:rPr>
          <w:rStyle w:val="a8"/>
          <w:rFonts w:ascii="楷体" w:eastAsia="楷体" w:hAnsi="楷体" w:hint="eastAsia"/>
          <w:spacing w:val="-4"/>
          <w:sz w:val="32"/>
          <w:szCs w:val="32"/>
        </w:rPr>
        <w:lastRenderedPageBreak/>
        <w:t>主管部门进行沟通、筛选确定经费</w:t>
      </w:r>
      <w:r>
        <w:rPr>
          <w:rStyle w:val="a8"/>
          <w:rFonts w:ascii="楷体" w:eastAsia="楷体" w:hAnsi="楷体" w:hint="eastAsia"/>
          <w:spacing w:val="-4"/>
          <w:sz w:val="32"/>
          <w:szCs w:val="32"/>
        </w:rPr>
        <w:t>预算计划，上党委会研究确定最终预算方案，根据评分标准，该指标不扣分，得</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3</w:t>
      </w:r>
      <w:r>
        <w:rPr>
          <w:rStyle w:val="a8"/>
          <w:rFonts w:ascii="楷体" w:eastAsia="楷体" w:hAnsi="楷体" w:hint="eastAsia"/>
          <w:spacing w:val="-4"/>
          <w:sz w:val="32"/>
          <w:szCs w:val="32"/>
        </w:rPr>
        <w:t>）绩效目标合理性：绩效目标与实际工作内容具有相关性，预期产出效益和效果符合正常的业绩水平，且与预算确定的项目投资额或资金量相匹配，根据评分标准，该指标不扣分，得</w:t>
      </w:r>
      <w:r>
        <w:rPr>
          <w:rStyle w:val="a8"/>
          <w:rFonts w:ascii="楷体" w:eastAsia="楷体" w:hAnsi="楷体" w:hint="eastAsia"/>
          <w:spacing w:val="-4"/>
          <w:sz w:val="32"/>
          <w:szCs w:val="32"/>
        </w:rPr>
        <w:t>4</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4</w:t>
      </w:r>
      <w:r>
        <w:rPr>
          <w:rStyle w:val="a8"/>
          <w:rFonts w:ascii="楷体" w:eastAsia="楷体" w:hAnsi="楷体" w:hint="eastAsia"/>
          <w:spacing w:val="-4"/>
          <w:sz w:val="32"/>
          <w:szCs w:val="32"/>
        </w:rPr>
        <w:t>）绩效指标明确性：</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将项目绩效目标细化分解为具体的绩效指标</w:t>
      </w:r>
      <w:r>
        <w:rPr>
          <w:rStyle w:val="a8"/>
          <w:rFonts w:ascii="楷体" w:eastAsia="楷体" w:hAnsi="楷体" w:hint="eastAsia"/>
          <w:spacing w:val="-4"/>
          <w:sz w:val="32"/>
          <w:szCs w:val="32"/>
        </w:rPr>
        <w:t>,8</w:t>
      </w:r>
      <w:r>
        <w:rPr>
          <w:rStyle w:val="a8"/>
          <w:rFonts w:ascii="楷体" w:eastAsia="楷体" w:hAnsi="楷体" w:hint="eastAsia"/>
          <w:spacing w:val="-4"/>
          <w:sz w:val="32"/>
          <w:szCs w:val="32"/>
        </w:rPr>
        <w:t>个三级指标，</w:t>
      </w:r>
      <w:r>
        <w:rPr>
          <w:rStyle w:val="a8"/>
          <w:rFonts w:ascii="楷体" w:eastAsia="楷体" w:hAnsi="楷体" w:hint="eastAsia"/>
          <w:spacing w:val="-4"/>
          <w:sz w:val="32"/>
          <w:szCs w:val="32"/>
        </w:rPr>
        <w:t>8</w:t>
      </w:r>
      <w:r>
        <w:rPr>
          <w:rStyle w:val="a8"/>
          <w:rFonts w:ascii="楷体" w:eastAsia="楷体" w:hAnsi="楷体" w:hint="eastAsia"/>
          <w:spacing w:val="-4"/>
          <w:sz w:val="32"/>
          <w:szCs w:val="32"/>
        </w:rPr>
        <w:t>个定量指标，量化率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通过清晰、可衡量的指标值予以体现，与项目目标任务数或计划数相对应，根据评分标准，该指标不扣分，得</w:t>
      </w:r>
      <w:r>
        <w:rPr>
          <w:rStyle w:val="a8"/>
          <w:rFonts w:ascii="楷体" w:eastAsia="楷体" w:hAnsi="楷体" w:hint="eastAsia"/>
          <w:spacing w:val="-4"/>
          <w:sz w:val="32"/>
          <w:szCs w:val="32"/>
        </w:rPr>
        <w:t>4</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5</w:t>
      </w:r>
      <w:r>
        <w:rPr>
          <w:rStyle w:val="a8"/>
          <w:rFonts w:ascii="楷体" w:eastAsia="楷体" w:hAnsi="楷体" w:hint="eastAsia"/>
          <w:spacing w:val="-4"/>
          <w:sz w:val="32"/>
          <w:szCs w:val="32"/>
        </w:rPr>
        <w:t>）预算编制科学性：</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预算编制经过科学论证，</w:t>
      </w:r>
      <w:r>
        <w:rPr>
          <w:rStyle w:val="a8"/>
          <w:rFonts w:ascii="楷体" w:eastAsia="楷体" w:hAnsi="楷体" w:hint="eastAsia"/>
          <w:spacing w:val="-4"/>
          <w:sz w:val="32"/>
          <w:szCs w:val="32"/>
        </w:rPr>
        <w:t>内容与项目内容匹配，项目投资额与工作任务相匹配，根据评分标准，该指标不扣分，得</w:t>
      </w:r>
      <w:r>
        <w:rPr>
          <w:rStyle w:val="a8"/>
          <w:rFonts w:ascii="楷体" w:eastAsia="楷体" w:hAnsi="楷体" w:hint="eastAsia"/>
          <w:spacing w:val="-4"/>
          <w:sz w:val="32"/>
          <w:szCs w:val="32"/>
        </w:rPr>
        <w:t>7</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6</w:t>
      </w:r>
      <w:r>
        <w:rPr>
          <w:rStyle w:val="a8"/>
          <w:rFonts w:ascii="楷体" w:eastAsia="楷体" w:hAnsi="楷体" w:hint="eastAsia"/>
          <w:spacing w:val="-4"/>
          <w:sz w:val="32"/>
          <w:szCs w:val="32"/>
        </w:rPr>
        <w:t>）资金分配合理性：资金分配与实际相适应，根据评分标准，该指标不扣分，得</w:t>
      </w:r>
      <w:r>
        <w:rPr>
          <w:rStyle w:val="a8"/>
          <w:rFonts w:ascii="楷体" w:eastAsia="楷体" w:hAnsi="楷体" w:hint="eastAsia"/>
          <w:spacing w:val="-4"/>
          <w:sz w:val="32"/>
          <w:szCs w:val="32"/>
        </w:rPr>
        <w:t>7</w:t>
      </w:r>
      <w:r>
        <w:rPr>
          <w:rStyle w:val="a8"/>
          <w:rFonts w:ascii="楷体" w:eastAsia="楷体" w:hAnsi="楷体" w:hint="eastAsia"/>
          <w:spacing w:val="-4"/>
          <w:sz w:val="32"/>
          <w:szCs w:val="32"/>
        </w:rPr>
        <w:t>分。</w:t>
      </w:r>
    </w:p>
    <w:p w:rsidR="000402D2" w:rsidRDefault="003C1AA4">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rsidR="000402D2" w:rsidRDefault="003C1AA4">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（二）项目过程情况</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项目过程类指标包括资金管理和组织实施两方面的内容，由</w:t>
      </w:r>
      <w:r>
        <w:rPr>
          <w:rStyle w:val="a8"/>
          <w:rFonts w:ascii="楷体" w:eastAsia="楷体" w:hAnsi="楷体" w:hint="eastAsia"/>
          <w:spacing w:val="-4"/>
          <w:sz w:val="32"/>
          <w:szCs w:val="32"/>
        </w:rPr>
        <w:t>6</w:t>
      </w:r>
      <w:r>
        <w:rPr>
          <w:rStyle w:val="a8"/>
          <w:rFonts w:ascii="楷体" w:eastAsia="楷体" w:hAnsi="楷体" w:hint="eastAsia"/>
          <w:spacing w:val="-4"/>
          <w:sz w:val="32"/>
          <w:szCs w:val="32"/>
        </w:rPr>
        <w:t>个三级指标构成，权重分为</w:t>
      </w:r>
      <w:r>
        <w:rPr>
          <w:rStyle w:val="a8"/>
          <w:rFonts w:ascii="楷体" w:eastAsia="楷体" w:hAnsi="楷体" w:hint="eastAsia"/>
          <w:spacing w:val="-4"/>
          <w:sz w:val="32"/>
          <w:szCs w:val="32"/>
        </w:rPr>
        <w:t>30</w:t>
      </w:r>
      <w:r>
        <w:rPr>
          <w:rStyle w:val="a8"/>
          <w:rFonts w:ascii="楷体" w:eastAsia="楷体" w:hAnsi="楷体" w:hint="eastAsia"/>
          <w:spacing w:val="-4"/>
          <w:sz w:val="32"/>
          <w:szCs w:val="32"/>
        </w:rPr>
        <w:t>分，实际得分</w:t>
      </w:r>
      <w:r>
        <w:rPr>
          <w:rStyle w:val="a8"/>
          <w:rFonts w:ascii="楷体" w:eastAsia="楷体" w:hAnsi="楷体" w:hint="eastAsia"/>
          <w:spacing w:val="-4"/>
          <w:sz w:val="32"/>
          <w:szCs w:val="32"/>
        </w:rPr>
        <w:t>30</w:t>
      </w:r>
      <w:r>
        <w:rPr>
          <w:rStyle w:val="a8"/>
          <w:rFonts w:ascii="楷体" w:eastAsia="楷体" w:hAnsi="楷体" w:hint="eastAsia"/>
          <w:spacing w:val="-4"/>
          <w:sz w:val="32"/>
          <w:szCs w:val="32"/>
        </w:rPr>
        <w:t>分，得分率为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cr/>
      </w:r>
      <w:r>
        <w:rPr>
          <w:rStyle w:val="a8"/>
          <w:rFonts w:ascii="楷体" w:eastAsia="楷体" w:hAnsi="楷体" w:hint="eastAsia"/>
          <w:spacing w:val="-4"/>
          <w:sz w:val="32"/>
          <w:szCs w:val="32"/>
        </w:rPr>
        <w:lastRenderedPageBreak/>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）资金到位率：项目预算数为</w:t>
      </w:r>
      <w:r>
        <w:rPr>
          <w:rStyle w:val="a8"/>
          <w:rFonts w:ascii="楷体" w:eastAsia="楷体" w:hAnsi="楷体" w:hint="eastAsia"/>
          <w:spacing w:val="-4"/>
          <w:sz w:val="32"/>
          <w:szCs w:val="32"/>
        </w:rPr>
        <w:t>28</w:t>
      </w:r>
      <w:r>
        <w:rPr>
          <w:rStyle w:val="a8"/>
          <w:rFonts w:ascii="楷体" w:eastAsia="楷体" w:hAnsi="楷体" w:hint="eastAsia"/>
          <w:spacing w:val="-4"/>
          <w:sz w:val="32"/>
          <w:szCs w:val="32"/>
        </w:rPr>
        <w:t>万元，财政资金足额拨付到位</w:t>
      </w:r>
      <w:r>
        <w:rPr>
          <w:rStyle w:val="a8"/>
          <w:rFonts w:ascii="楷体" w:eastAsia="楷体" w:hAnsi="楷体" w:hint="eastAsia"/>
          <w:spacing w:val="-4"/>
          <w:sz w:val="32"/>
          <w:szCs w:val="32"/>
        </w:rPr>
        <w:t>28</w:t>
      </w:r>
      <w:r>
        <w:rPr>
          <w:rStyle w:val="a8"/>
          <w:rFonts w:ascii="楷体" w:eastAsia="楷体" w:hAnsi="楷体" w:hint="eastAsia"/>
          <w:spacing w:val="-4"/>
          <w:sz w:val="32"/>
          <w:szCs w:val="32"/>
        </w:rPr>
        <w:t>万元，到位率为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。我单位能够及时足额按照合同约定将资金预算执行到位，并做到专款专用，根据评分标准，该指标</w:t>
      </w:r>
      <w:r>
        <w:rPr>
          <w:rStyle w:val="a8"/>
          <w:rFonts w:ascii="楷体" w:eastAsia="楷体" w:hAnsi="楷体" w:hint="eastAsia"/>
          <w:spacing w:val="-4"/>
          <w:sz w:val="32"/>
          <w:szCs w:val="32"/>
        </w:rPr>
        <w:t>不扣分，得</w:t>
      </w:r>
      <w:r>
        <w:rPr>
          <w:rStyle w:val="a8"/>
          <w:rFonts w:ascii="楷体" w:eastAsia="楷体" w:hAnsi="楷体" w:hint="eastAsia"/>
          <w:spacing w:val="-4"/>
          <w:sz w:val="32"/>
          <w:szCs w:val="32"/>
        </w:rPr>
        <w:t>7</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）预算执行率：预算编制较为详细，项目资金支出</w:t>
      </w:r>
      <w:r>
        <w:rPr>
          <w:rStyle w:val="a8"/>
          <w:rFonts w:ascii="楷体" w:eastAsia="楷体" w:hAnsi="楷体" w:hint="eastAsia"/>
          <w:spacing w:val="-4"/>
          <w:sz w:val="32"/>
          <w:szCs w:val="32"/>
        </w:rPr>
        <w:t>28</w:t>
      </w:r>
      <w:r>
        <w:rPr>
          <w:rStyle w:val="a8"/>
          <w:rFonts w:ascii="楷体" w:eastAsia="楷体" w:hAnsi="楷体" w:hint="eastAsia"/>
          <w:spacing w:val="-4"/>
          <w:sz w:val="32"/>
          <w:szCs w:val="32"/>
        </w:rPr>
        <w:t>万元，执行率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。根据评分标准，该指标不扣分，得</w:t>
      </w:r>
      <w:r>
        <w:rPr>
          <w:rStyle w:val="a8"/>
          <w:rFonts w:ascii="楷体" w:eastAsia="楷体" w:hAnsi="楷体" w:hint="eastAsia"/>
          <w:spacing w:val="-4"/>
          <w:sz w:val="32"/>
          <w:szCs w:val="32"/>
        </w:rPr>
        <w:t>7</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3</w:t>
      </w:r>
      <w:r>
        <w:rPr>
          <w:rStyle w:val="a8"/>
          <w:rFonts w:ascii="楷体" w:eastAsia="楷体" w:hAnsi="楷体" w:hint="eastAsia"/>
          <w:spacing w:val="-4"/>
          <w:sz w:val="32"/>
          <w:szCs w:val="32"/>
        </w:rPr>
        <w:t>）资金使用合规性：制定了相关的制度和管理规定对经费使用进行规范管理，财务制度健全、执行严格，根据评分标准，该指标不扣分，得</w:t>
      </w:r>
      <w:r>
        <w:rPr>
          <w:rStyle w:val="a8"/>
          <w:rFonts w:ascii="楷体" w:eastAsia="楷体" w:hAnsi="楷体" w:hint="eastAsia"/>
          <w:spacing w:val="-4"/>
          <w:sz w:val="32"/>
          <w:szCs w:val="32"/>
        </w:rPr>
        <w:t>7</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4</w:t>
      </w:r>
      <w:r>
        <w:rPr>
          <w:rStyle w:val="a8"/>
          <w:rFonts w:ascii="楷体" w:eastAsia="楷体" w:hAnsi="楷体" w:hint="eastAsia"/>
          <w:spacing w:val="-4"/>
          <w:sz w:val="32"/>
          <w:szCs w:val="32"/>
        </w:rPr>
        <w:t>）管理制度健全性：制定完善了《自治区能源安全监测中心财务管理制度》对财政专项资金进行严格管理，基本做到了专款专用，根据评分标准，该指标不扣分，得</w:t>
      </w:r>
      <w:r>
        <w:rPr>
          <w:rStyle w:val="a8"/>
          <w:rFonts w:ascii="楷体" w:eastAsia="楷体" w:hAnsi="楷体" w:hint="eastAsia"/>
          <w:spacing w:val="-4"/>
          <w:sz w:val="32"/>
          <w:szCs w:val="32"/>
        </w:rPr>
        <w:t>4</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）制度执行有效性：由部门提出经费预算支出可行性方案，经过与财务管领导沟通后</w:t>
      </w:r>
      <w:r>
        <w:rPr>
          <w:rStyle w:val="a8"/>
          <w:rFonts w:ascii="楷体" w:eastAsia="楷体" w:hAnsi="楷体" w:hint="eastAsia"/>
          <w:spacing w:val="-4"/>
          <w:sz w:val="32"/>
          <w:szCs w:val="32"/>
        </w:rPr>
        <w:t>，报党委会议研究执行，财务对资金的使用合法合规性进行监督，年底对资金使用效果进行自评，根据评分标准，该指标不扣分，得</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分。</w:t>
      </w:r>
    </w:p>
    <w:p w:rsidR="000402D2" w:rsidRDefault="003C1AA4">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rsidR="000402D2" w:rsidRDefault="003C1AA4">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（三）项目产出情况</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项目产出类指标包括产出数量、产出质量、产出成本三方面的</w:t>
      </w:r>
      <w:r>
        <w:rPr>
          <w:rStyle w:val="a8"/>
          <w:rFonts w:ascii="楷体" w:eastAsia="楷体" w:hAnsi="楷体" w:hint="eastAsia"/>
          <w:spacing w:val="-4"/>
          <w:sz w:val="32"/>
          <w:szCs w:val="32"/>
        </w:rPr>
        <w:lastRenderedPageBreak/>
        <w:t>内容，由</w:t>
      </w:r>
      <w:r>
        <w:rPr>
          <w:rStyle w:val="a8"/>
          <w:rFonts w:ascii="楷体" w:eastAsia="楷体" w:hAnsi="楷体" w:hint="eastAsia"/>
          <w:spacing w:val="-4"/>
          <w:sz w:val="32"/>
          <w:szCs w:val="32"/>
        </w:rPr>
        <w:t>6</w:t>
      </w:r>
      <w:r>
        <w:rPr>
          <w:rStyle w:val="a8"/>
          <w:rFonts w:ascii="楷体" w:eastAsia="楷体" w:hAnsi="楷体" w:hint="eastAsia"/>
          <w:spacing w:val="-4"/>
          <w:sz w:val="32"/>
          <w:szCs w:val="32"/>
        </w:rPr>
        <w:t>个三级指标构成，权重分为</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分，实际得分</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分，得分率为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）对于“产出数量”</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编制能源建设运行监测分析报告</w:t>
      </w:r>
      <w:r>
        <w:rPr>
          <w:rStyle w:val="a8"/>
          <w:rFonts w:ascii="楷体" w:eastAsia="楷体" w:hAnsi="楷体" w:hint="eastAsia"/>
          <w:spacing w:val="-4"/>
          <w:sz w:val="32"/>
          <w:szCs w:val="32"/>
        </w:rPr>
        <w:t>12</w:t>
      </w:r>
      <w:r>
        <w:rPr>
          <w:rStyle w:val="a8"/>
          <w:rFonts w:ascii="楷体" w:eastAsia="楷体" w:hAnsi="楷体" w:hint="eastAsia"/>
          <w:spacing w:val="-4"/>
          <w:sz w:val="32"/>
          <w:szCs w:val="32"/>
        </w:rPr>
        <w:t>份，实际完成能源建设运行监测分析报告</w:t>
      </w:r>
      <w:r>
        <w:rPr>
          <w:rStyle w:val="a8"/>
          <w:rFonts w:ascii="楷体" w:eastAsia="楷体" w:hAnsi="楷体" w:hint="eastAsia"/>
          <w:spacing w:val="-4"/>
          <w:sz w:val="32"/>
          <w:szCs w:val="32"/>
        </w:rPr>
        <w:t>12</w:t>
      </w:r>
      <w:r>
        <w:rPr>
          <w:rStyle w:val="a8"/>
          <w:rFonts w:ascii="楷体" w:eastAsia="楷体" w:hAnsi="楷体" w:hint="eastAsia"/>
          <w:spacing w:val="-4"/>
          <w:sz w:val="32"/>
          <w:szCs w:val="32"/>
        </w:rPr>
        <w:t>份，偏差率为</w:t>
      </w:r>
      <w:r>
        <w:rPr>
          <w:rStyle w:val="a8"/>
          <w:rFonts w:ascii="楷体" w:eastAsia="楷体" w:hAnsi="楷体" w:hint="eastAsia"/>
          <w:spacing w:val="-4"/>
          <w:sz w:val="32"/>
          <w:szCs w:val="32"/>
        </w:rPr>
        <w:t xml:space="preserve">0% </w:t>
      </w:r>
      <w:r>
        <w:rPr>
          <w:rStyle w:val="a8"/>
          <w:rFonts w:ascii="楷体" w:eastAsia="楷体" w:hAnsi="楷体" w:hint="eastAsia"/>
          <w:spacing w:val="-4"/>
          <w:sz w:val="32"/>
          <w:szCs w:val="32"/>
        </w:rPr>
        <w:t>，与预期目标一致，根据评分标准，该指标不扣分，得</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参加各类会议、培训及调研人数</w:t>
      </w:r>
      <w:r>
        <w:rPr>
          <w:rStyle w:val="a8"/>
          <w:rFonts w:ascii="楷体" w:eastAsia="楷体" w:hAnsi="楷体" w:hint="eastAsia"/>
          <w:spacing w:val="-4"/>
          <w:sz w:val="32"/>
          <w:szCs w:val="32"/>
        </w:rPr>
        <w:t>15</w:t>
      </w:r>
      <w:r>
        <w:rPr>
          <w:rStyle w:val="a8"/>
          <w:rFonts w:ascii="楷体" w:eastAsia="楷体" w:hAnsi="楷体" w:hint="eastAsia"/>
          <w:spacing w:val="-4"/>
          <w:sz w:val="32"/>
          <w:szCs w:val="32"/>
        </w:rPr>
        <w:t>人次，实际完成参加各类会议、培训及调研人数</w:t>
      </w:r>
      <w:r>
        <w:rPr>
          <w:rStyle w:val="a8"/>
          <w:rFonts w:ascii="楷体" w:eastAsia="楷体" w:hAnsi="楷体" w:hint="eastAsia"/>
          <w:spacing w:val="-4"/>
          <w:sz w:val="32"/>
          <w:szCs w:val="32"/>
        </w:rPr>
        <w:t>18</w:t>
      </w:r>
      <w:r>
        <w:rPr>
          <w:rStyle w:val="a8"/>
          <w:rFonts w:ascii="楷体" w:eastAsia="楷体" w:hAnsi="楷体" w:hint="eastAsia"/>
          <w:spacing w:val="-4"/>
          <w:sz w:val="32"/>
          <w:szCs w:val="32"/>
        </w:rPr>
        <w:t>人次，与预期目标一致，根据评分标准，该指标不扣分，得</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合计得</w:t>
      </w:r>
      <w:r>
        <w:rPr>
          <w:rStyle w:val="a8"/>
          <w:rFonts w:ascii="楷体" w:eastAsia="楷体" w:hAnsi="楷体" w:hint="eastAsia"/>
          <w:spacing w:val="-4"/>
          <w:sz w:val="32"/>
          <w:szCs w:val="32"/>
        </w:rPr>
        <w:t>6</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）对于“产出质量”：</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会议培训出勤率大于等于</w:t>
      </w:r>
      <w:r>
        <w:rPr>
          <w:rStyle w:val="a8"/>
          <w:rFonts w:ascii="楷体" w:eastAsia="楷体" w:hAnsi="楷体" w:hint="eastAsia"/>
          <w:spacing w:val="-4"/>
          <w:sz w:val="32"/>
          <w:szCs w:val="32"/>
        </w:rPr>
        <w:t>90%</w:t>
      </w:r>
      <w:r>
        <w:rPr>
          <w:rStyle w:val="a8"/>
          <w:rFonts w:ascii="楷体" w:eastAsia="楷体" w:hAnsi="楷体" w:hint="eastAsia"/>
          <w:spacing w:val="-4"/>
          <w:sz w:val="32"/>
          <w:szCs w:val="32"/>
        </w:rPr>
        <w:t>，与预期目标一致，根据评分标准，该指标不扣分，得</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监测分析报告合格率大于等于</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，与预期目标一致，根据评分标准，该指标不扣分，得</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合计得</w:t>
      </w:r>
      <w:r>
        <w:rPr>
          <w:rStyle w:val="a8"/>
          <w:rFonts w:ascii="楷体" w:eastAsia="楷体" w:hAnsi="楷体" w:hint="eastAsia"/>
          <w:spacing w:val="-4"/>
          <w:sz w:val="32"/>
          <w:szCs w:val="32"/>
        </w:rPr>
        <w:t>6</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）对于“产出成本”：</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编制能源建设运行监测分析报告成本</w:t>
      </w:r>
      <w:r>
        <w:rPr>
          <w:rStyle w:val="a8"/>
          <w:rFonts w:ascii="楷体" w:eastAsia="楷体" w:hAnsi="楷体" w:hint="eastAsia"/>
          <w:spacing w:val="-4"/>
          <w:sz w:val="32"/>
          <w:szCs w:val="32"/>
        </w:rPr>
        <w:t>21.3</w:t>
      </w:r>
      <w:r>
        <w:rPr>
          <w:rStyle w:val="a8"/>
          <w:rFonts w:ascii="楷体" w:eastAsia="楷体" w:hAnsi="楷体" w:hint="eastAsia"/>
          <w:spacing w:val="-4"/>
          <w:sz w:val="32"/>
          <w:szCs w:val="32"/>
        </w:rPr>
        <w:t>万元，项目经费都能控制绩效目标范围内，根据评分标准，该指标不扣分，</w:t>
      </w:r>
      <w:r>
        <w:rPr>
          <w:rStyle w:val="a8"/>
          <w:rFonts w:ascii="楷体" w:eastAsia="楷体" w:hAnsi="楷体" w:hint="eastAsia"/>
          <w:spacing w:val="-4"/>
          <w:sz w:val="32"/>
          <w:szCs w:val="32"/>
        </w:rPr>
        <w:t>得</w:t>
      </w:r>
      <w:r>
        <w:rPr>
          <w:rStyle w:val="a8"/>
          <w:rFonts w:ascii="楷体" w:eastAsia="楷体" w:hAnsi="楷体" w:hint="eastAsia"/>
          <w:spacing w:val="-4"/>
          <w:sz w:val="32"/>
          <w:szCs w:val="32"/>
        </w:rPr>
        <w:t>4</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参加各类会议、培训及调研成本</w:t>
      </w:r>
      <w:r>
        <w:rPr>
          <w:rStyle w:val="a8"/>
          <w:rFonts w:ascii="楷体" w:eastAsia="楷体" w:hAnsi="楷体" w:hint="eastAsia"/>
          <w:spacing w:val="-4"/>
          <w:sz w:val="32"/>
          <w:szCs w:val="32"/>
        </w:rPr>
        <w:t>6.7</w:t>
      </w:r>
      <w:r>
        <w:rPr>
          <w:rStyle w:val="a8"/>
          <w:rFonts w:ascii="楷体" w:eastAsia="楷体" w:hAnsi="楷体" w:hint="eastAsia"/>
          <w:spacing w:val="-4"/>
          <w:sz w:val="32"/>
          <w:szCs w:val="32"/>
        </w:rPr>
        <w:t>万元，项目经费都能控制绩效目标范围内，根据评分标准，该指标不扣分，得</w:t>
      </w:r>
      <w:r>
        <w:rPr>
          <w:rStyle w:val="a8"/>
          <w:rFonts w:ascii="楷体" w:eastAsia="楷体" w:hAnsi="楷体" w:hint="eastAsia"/>
          <w:spacing w:val="-4"/>
          <w:sz w:val="32"/>
          <w:szCs w:val="32"/>
        </w:rPr>
        <w:t>4</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合计得</w:t>
      </w:r>
      <w:r>
        <w:rPr>
          <w:rStyle w:val="a8"/>
          <w:rFonts w:ascii="楷体" w:eastAsia="楷体" w:hAnsi="楷体" w:hint="eastAsia"/>
          <w:spacing w:val="-4"/>
          <w:sz w:val="32"/>
          <w:szCs w:val="32"/>
        </w:rPr>
        <w:t>8</w:t>
      </w:r>
      <w:r>
        <w:rPr>
          <w:rStyle w:val="a8"/>
          <w:rFonts w:ascii="楷体" w:eastAsia="楷体" w:hAnsi="楷体" w:hint="eastAsia"/>
          <w:spacing w:val="-4"/>
          <w:sz w:val="32"/>
          <w:szCs w:val="32"/>
        </w:rPr>
        <w:t>分。</w:t>
      </w:r>
    </w:p>
    <w:p w:rsidR="000402D2" w:rsidRDefault="003C1AA4">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rsidR="000402D2" w:rsidRDefault="003C1AA4">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（四）项目效益情况</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项目效益类指标包括社会效益和培训人员满意度两方面的内容，由</w:t>
      </w:r>
      <w:r>
        <w:rPr>
          <w:rStyle w:val="a8"/>
          <w:rFonts w:ascii="楷体" w:eastAsia="楷体" w:hAnsi="楷体" w:hint="eastAsia"/>
          <w:spacing w:val="-4"/>
          <w:sz w:val="32"/>
          <w:szCs w:val="32"/>
        </w:rPr>
        <w:t>2</w:t>
      </w:r>
      <w:r>
        <w:rPr>
          <w:rStyle w:val="a8"/>
          <w:rFonts w:ascii="楷体" w:eastAsia="楷体" w:hAnsi="楷体" w:hint="eastAsia"/>
          <w:spacing w:val="-4"/>
          <w:sz w:val="32"/>
          <w:szCs w:val="32"/>
        </w:rPr>
        <w:t>个三级指标构成，权重分为</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分，实际得分</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分，得分率为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t>1.</w:t>
      </w:r>
      <w:r>
        <w:rPr>
          <w:rStyle w:val="a8"/>
          <w:rFonts w:ascii="楷体" w:eastAsia="楷体" w:hAnsi="楷体" w:hint="eastAsia"/>
          <w:spacing w:val="-4"/>
          <w:sz w:val="32"/>
          <w:szCs w:val="32"/>
        </w:rPr>
        <w:t>实施效益指标：</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对于“社会效益指标”：</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有效提升中心工作人员业务水平。与预期目标一致，根据评分标准，该指标不扣分，得</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合计得</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对于“可持续影响指标”：</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本项目无该指标。</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对于“经济效益指标”：</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本项目无该指标。</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对于“生态效益指标”：</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本项目无该指标。</w:t>
      </w:r>
    </w:p>
    <w:p w:rsidR="000402D2" w:rsidRDefault="003C1AA4">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2.</w:t>
      </w:r>
      <w:r>
        <w:rPr>
          <w:rStyle w:val="a8"/>
          <w:rFonts w:ascii="楷体" w:eastAsia="楷体" w:hAnsi="楷体" w:hint="eastAsia"/>
          <w:spacing w:val="-4"/>
          <w:sz w:val="32"/>
          <w:szCs w:val="32"/>
        </w:rPr>
        <w:t>满意度指标</w:t>
      </w:r>
      <w:r>
        <w:rPr>
          <w:rStyle w:val="a8"/>
          <w:rFonts w:ascii="楷体" w:eastAsia="楷体" w:hAnsi="楷体" w:hint="eastAsia"/>
          <w:spacing w:val="-4"/>
          <w:sz w:val="32"/>
          <w:szCs w:val="32"/>
        </w:rPr>
        <w:t>:</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参加培训人员满意度大于等于</w:t>
      </w:r>
      <w:r>
        <w:rPr>
          <w:rStyle w:val="a8"/>
          <w:rFonts w:ascii="楷体" w:eastAsia="楷体" w:hAnsi="楷体" w:hint="eastAsia"/>
          <w:spacing w:val="-4"/>
          <w:sz w:val="32"/>
          <w:szCs w:val="32"/>
        </w:rPr>
        <w:t>90%</w:t>
      </w:r>
      <w:r>
        <w:rPr>
          <w:rStyle w:val="a8"/>
          <w:rFonts w:ascii="楷体" w:eastAsia="楷体" w:hAnsi="楷体" w:hint="eastAsia"/>
          <w:spacing w:val="-4"/>
          <w:sz w:val="32"/>
          <w:szCs w:val="32"/>
        </w:rPr>
        <w:t>，与预期目标一致，根据评分标准，该指标不扣分，得</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合计得</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分。</w:t>
      </w:r>
    </w:p>
    <w:p w:rsidR="000402D2" w:rsidRDefault="003C1AA4">
      <w:pPr>
        <w:spacing w:line="540" w:lineRule="exact"/>
        <w:ind w:firstLine="640"/>
        <w:rPr>
          <w:rStyle w:val="a8"/>
          <w:rFonts w:ascii="黑体" w:eastAsia="黑体" w:hAnsi="黑体"/>
          <w:spacing w:val="-4"/>
          <w:sz w:val="32"/>
          <w:szCs w:val="32"/>
        </w:rPr>
      </w:pPr>
      <w:r>
        <w:rPr>
          <w:rStyle w:val="a8"/>
          <w:rFonts w:ascii="黑体" w:eastAsia="黑体" w:hAnsi="黑体" w:hint="eastAsia"/>
          <w:b w:val="0"/>
          <w:spacing w:val="-4"/>
          <w:sz w:val="32"/>
          <w:szCs w:val="32"/>
        </w:rPr>
        <w:t>五</w:t>
      </w:r>
      <w:r>
        <w:rPr>
          <w:rStyle w:val="a8"/>
          <w:rFonts w:ascii="黑体" w:eastAsia="黑体" w:hAnsi="黑体" w:hint="eastAsia"/>
          <w:b w:val="0"/>
          <w:spacing w:val="-4"/>
          <w:sz w:val="32"/>
          <w:szCs w:val="32"/>
        </w:rPr>
        <w:t>、</w:t>
      </w:r>
      <w:r>
        <w:rPr>
          <w:rStyle w:val="a8"/>
          <w:rFonts w:ascii="黑体" w:eastAsia="黑体" w:hAnsi="黑体"/>
          <w:b w:val="0"/>
          <w:spacing w:val="-4"/>
          <w:sz w:val="32"/>
          <w:szCs w:val="32"/>
        </w:rPr>
        <w:t>主要经验及做法、存在的问题及原因分析</w:t>
      </w:r>
    </w:p>
    <w:p w:rsidR="000402D2" w:rsidRDefault="003C1AA4">
      <w:pPr>
        <w:spacing w:line="54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t>（一）主要经验及做法</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一是本项目能够严格项目建设内容实施，项目执行情况较好。二是加强组织领导，本项目绩效评价工作，由中心主要领导亲自挂帅，分管财务领导具体负责，从项目到资金，均能后很好的执行。三是加强沟通协调，项目实施部门及时向中心领导汇报项目建设进度，加强与项目实施部门的沟通，确保项目按期</w:t>
      </w:r>
      <w:r>
        <w:rPr>
          <w:rStyle w:val="a8"/>
          <w:rFonts w:ascii="楷体" w:eastAsia="楷体" w:hAnsi="楷体" w:hint="eastAsia"/>
          <w:spacing w:val="-4"/>
          <w:sz w:val="32"/>
          <w:szCs w:val="32"/>
        </w:rPr>
        <w:lastRenderedPageBreak/>
        <w:t>完工。</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（二）存在问题及原因分析</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一是对各项指标和指标值要进一步优化、完善，主要在细化、量化上改进，二是自评价工作还存在自我审定的局限性，会影响评价质量，容易造成问题的疏漏，在客观性和公正性上说服力不强，三是现场评价的工作量少，后续效益评</w:t>
      </w:r>
      <w:r>
        <w:rPr>
          <w:rStyle w:val="a8"/>
          <w:rFonts w:ascii="楷体" w:eastAsia="楷体" w:hAnsi="楷体" w:hint="eastAsia"/>
          <w:spacing w:val="-4"/>
          <w:sz w:val="32"/>
          <w:szCs w:val="32"/>
        </w:rPr>
        <w:t>价具体措施和方法较少。</w:t>
      </w:r>
    </w:p>
    <w:p w:rsidR="000402D2" w:rsidRDefault="003C1AA4">
      <w:pPr>
        <w:ind w:firstLineChars="200" w:firstLine="624"/>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Pr>
          <w:rStyle w:val="a8"/>
          <w:rFonts w:ascii="黑体" w:eastAsia="黑体" w:hAnsi="黑体"/>
          <w:b w:val="0"/>
          <w:spacing w:val="-4"/>
          <w:sz w:val="32"/>
          <w:szCs w:val="32"/>
        </w:rPr>
        <w:t>、有关建议</w:t>
      </w:r>
    </w:p>
    <w:p w:rsidR="000402D2" w:rsidRDefault="003C1AA4">
      <w:pPr>
        <w:spacing w:line="54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t>（一）进一步细化完善指标和指标值，并结合项目进展及外部客观因素定期调整指标和指标值，确保其科学性和适用性。将现有指标进一步分解为更具体的子指标，确保每个指标都能准确反映项目的实际效果。</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二）建立交叉评审机制，组织不同部门或外部专家进行交叉评审，减少自我审定的局限性。将评价过程和结果公开，接受内部和外部的监督，增强评价结果的可信度，并加强对评价人员的培训，提升其专业能力和公正意识。</w:t>
      </w:r>
      <w:r>
        <w:rPr>
          <w:rStyle w:val="a8"/>
          <w:rFonts w:ascii="楷体" w:eastAsia="楷体" w:hAnsi="楷体" w:hint="eastAsia"/>
          <w:spacing w:val="-4"/>
          <w:sz w:val="32"/>
          <w:szCs w:val="32"/>
        </w:rPr>
        <w:cr/>
      </w:r>
      <w:r>
        <w:rPr>
          <w:rStyle w:val="a8"/>
          <w:rFonts w:ascii="楷体" w:eastAsia="楷体" w:hAnsi="楷体" w:hint="eastAsia"/>
          <w:spacing w:val="-4"/>
          <w:sz w:val="32"/>
          <w:szCs w:val="32"/>
        </w:rPr>
        <w:br/>
      </w:r>
      <w:r>
        <w:rPr>
          <w:rStyle w:val="a8"/>
          <w:rFonts w:ascii="楷体" w:eastAsia="楷体" w:hAnsi="楷体" w:hint="eastAsia"/>
          <w:spacing w:val="-4"/>
          <w:sz w:val="32"/>
          <w:szCs w:val="32"/>
        </w:rPr>
        <w:t>（三）优化现场评价方法，根据项目规模和复杂性，适当增加现场评价的次数，采用多样化的现</w:t>
      </w:r>
      <w:r>
        <w:rPr>
          <w:rStyle w:val="a8"/>
          <w:rFonts w:ascii="楷体" w:eastAsia="楷体" w:hAnsi="楷体" w:hint="eastAsia"/>
          <w:spacing w:val="-4"/>
          <w:sz w:val="32"/>
          <w:szCs w:val="32"/>
        </w:rPr>
        <w:t>场评价方法，如实地考察、访谈、问卷调查等，确保评价结果的全面性。制定详细的后续效益评价计划，明确评价的时间节点、指标和方法。</w:t>
      </w:r>
    </w:p>
    <w:p w:rsidR="000402D2" w:rsidRDefault="003C1AA4">
      <w:pPr>
        <w:spacing w:line="540" w:lineRule="exact"/>
        <w:ind w:firstLine="567"/>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r>
        <w:rPr>
          <w:rStyle w:val="a8"/>
          <w:rFonts w:ascii="黑体" w:eastAsia="黑体" w:hAnsi="黑体" w:hint="eastAsia"/>
          <w:b w:val="0"/>
          <w:spacing w:val="-4"/>
          <w:sz w:val="32"/>
          <w:szCs w:val="32"/>
        </w:rPr>
        <w:t>、其他需要说明的问题</w:t>
      </w:r>
    </w:p>
    <w:p w:rsidR="000402D2" w:rsidRDefault="003C1AA4">
      <w:pPr>
        <w:spacing w:line="54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lastRenderedPageBreak/>
        <w:t>我单位对上述项目支出绩效评价报告内反映内容的真实性、完整性负责，接受上级部门及社会公众监督。</w:t>
      </w:r>
    </w:p>
    <w:p w:rsidR="000402D2" w:rsidRDefault="000402D2">
      <w:pPr>
        <w:spacing w:line="540" w:lineRule="exact"/>
        <w:ind w:firstLine="567"/>
        <w:rPr>
          <w:rStyle w:val="a8"/>
          <w:rFonts w:ascii="仿宋" w:eastAsia="仿宋" w:hAnsi="仿宋"/>
          <w:b w:val="0"/>
          <w:spacing w:val="-4"/>
          <w:sz w:val="32"/>
          <w:szCs w:val="32"/>
        </w:rPr>
      </w:pPr>
    </w:p>
    <w:p w:rsidR="000402D2" w:rsidRDefault="000402D2">
      <w:pPr>
        <w:spacing w:line="540" w:lineRule="exact"/>
        <w:ind w:firstLine="567"/>
        <w:rPr>
          <w:rStyle w:val="a8"/>
          <w:rFonts w:ascii="仿宋" w:eastAsia="仿宋" w:hAnsi="仿宋"/>
          <w:b w:val="0"/>
          <w:spacing w:val="-4"/>
          <w:sz w:val="32"/>
          <w:szCs w:val="32"/>
        </w:rPr>
      </w:pPr>
    </w:p>
    <w:p w:rsidR="000402D2" w:rsidRDefault="000402D2">
      <w:pPr>
        <w:spacing w:line="540" w:lineRule="exact"/>
        <w:ind w:firstLine="567"/>
        <w:rPr>
          <w:rStyle w:val="a8"/>
          <w:rFonts w:ascii="仿宋" w:eastAsia="仿宋" w:hAnsi="仿宋"/>
          <w:b w:val="0"/>
          <w:spacing w:val="-4"/>
          <w:sz w:val="32"/>
          <w:szCs w:val="32"/>
        </w:rPr>
      </w:pPr>
    </w:p>
    <w:p w:rsidR="000402D2" w:rsidRDefault="000402D2">
      <w:pPr>
        <w:spacing w:line="540" w:lineRule="exact"/>
        <w:ind w:firstLine="567"/>
        <w:rPr>
          <w:rStyle w:val="a8"/>
          <w:rFonts w:ascii="仿宋" w:eastAsia="仿宋" w:hAnsi="仿宋"/>
          <w:b w:val="0"/>
          <w:spacing w:val="-4"/>
          <w:sz w:val="32"/>
          <w:szCs w:val="32"/>
        </w:rPr>
      </w:pPr>
    </w:p>
    <w:p w:rsidR="000402D2" w:rsidRDefault="000402D2">
      <w:pPr>
        <w:spacing w:line="540" w:lineRule="exact"/>
        <w:ind w:firstLine="567"/>
        <w:rPr>
          <w:rStyle w:val="a8"/>
          <w:rFonts w:ascii="仿宋" w:eastAsia="仿宋" w:hAnsi="仿宋"/>
          <w:b w:val="0"/>
          <w:spacing w:val="-4"/>
          <w:sz w:val="32"/>
          <w:szCs w:val="32"/>
        </w:rPr>
      </w:pPr>
    </w:p>
    <w:p w:rsidR="000402D2" w:rsidRDefault="000402D2">
      <w:pPr>
        <w:spacing w:line="540" w:lineRule="exact"/>
        <w:ind w:firstLine="567"/>
        <w:rPr>
          <w:rStyle w:val="a8"/>
          <w:rFonts w:ascii="仿宋" w:eastAsia="仿宋" w:hAnsi="仿宋"/>
          <w:b w:val="0"/>
          <w:spacing w:val="-4"/>
          <w:sz w:val="32"/>
          <w:szCs w:val="32"/>
        </w:rPr>
      </w:pPr>
    </w:p>
    <w:p w:rsidR="000402D2" w:rsidRDefault="000402D2">
      <w:pPr>
        <w:spacing w:line="540" w:lineRule="exact"/>
        <w:ind w:firstLine="567"/>
        <w:rPr>
          <w:rStyle w:val="a8"/>
          <w:rFonts w:ascii="仿宋" w:eastAsia="仿宋" w:hAnsi="仿宋"/>
          <w:b w:val="0"/>
          <w:spacing w:val="-4"/>
          <w:sz w:val="32"/>
          <w:szCs w:val="32"/>
        </w:rPr>
      </w:pPr>
    </w:p>
    <w:p w:rsidR="000402D2" w:rsidRDefault="000402D2">
      <w:pPr>
        <w:spacing w:line="540" w:lineRule="exact"/>
        <w:ind w:firstLine="567"/>
        <w:rPr>
          <w:rStyle w:val="a8"/>
          <w:rFonts w:ascii="仿宋" w:eastAsia="仿宋" w:hAnsi="仿宋"/>
          <w:b w:val="0"/>
          <w:spacing w:val="-4"/>
          <w:sz w:val="32"/>
          <w:szCs w:val="32"/>
        </w:rPr>
      </w:pPr>
    </w:p>
    <w:p w:rsidR="000402D2" w:rsidRDefault="000402D2">
      <w:pPr>
        <w:spacing w:line="540" w:lineRule="exact"/>
        <w:ind w:firstLine="567"/>
        <w:rPr>
          <w:rStyle w:val="a8"/>
          <w:rFonts w:ascii="仿宋" w:eastAsia="仿宋" w:hAnsi="仿宋"/>
          <w:b w:val="0"/>
          <w:spacing w:val="-4"/>
          <w:sz w:val="32"/>
          <w:szCs w:val="32"/>
        </w:rPr>
      </w:pPr>
    </w:p>
    <w:p w:rsidR="000402D2" w:rsidRDefault="000402D2">
      <w:pPr>
        <w:spacing w:line="540" w:lineRule="exact"/>
        <w:ind w:firstLine="567"/>
        <w:rPr>
          <w:rStyle w:val="a8"/>
          <w:rFonts w:ascii="仿宋" w:eastAsia="仿宋" w:hAnsi="仿宋"/>
          <w:b w:val="0"/>
          <w:spacing w:val="-4"/>
          <w:sz w:val="32"/>
          <w:szCs w:val="32"/>
        </w:rPr>
      </w:pPr>
    </w:p>
    <w:p w:rsidR="000402D2" w:rsidRDefault="000402D2">
      <w:pPr>
        <w:spacing w:line="540" w:lineRule="exact"/>
        <w:ind w:firstLine="567"/>
        <w:rPr>
          <w:rStyle w:val="a8"/>
          <w:rFonts w:ascii="仿宋" w:eastAsia="仿宋" w:hAnsi="仿宋"/>
          <w:b w:val="0"/>
          <w:spacing w:val="-4"/>
          <w:sz w:val="32"/>
          <w:szCs w:val="32"/>
        </w:rPr>
      </w:pPr>
    </w:p>
    <w:p w:rsidR="000402D2" w:rsidRDefault="000402D2">
      <w:pPr>
        <w:spacing w:line="540" w:lineRule="exact"/>
        <w:ind w:firstLine="567"/>
        <w:rPr>
          <w:rStyle w:val="a8"/>
          <w:rFonts w:ascii="仿宋" w:eastAsia="仿宋" w:hAnsi="仿宋"/>
          <w:b w:val="0"/>
          <w:spacing w:val="-4"/>
          <w:sz w:val="32"/>
          <w:szCs w:val="32"/>
        </w:rPr>
      </w:pPr>
    </w:p>
    <w:sectPr w:rsidR="000402D2" w:rsidSect="000402D2">
      <w:footerReference w:type="default" r:id="rId6"/>
      <w:pgSz w:w="11906" w:h="16838"/>
      <w:pgMar w:top="1440" w:right="1558"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1AA4" w:rsidRDefault="003C1AA4" w:rsidP="000402D2">
      <w:r>
        <w:separator/>
      </w:r>
    </w:p>
  </w:endnote>
  <w:endnote w:type="continuationSeparator" w:id="0">
    <w:p w:rsidR="003C1AA4" w:rsidRDefault="003C1AA4" w:rsidP="000402D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charset w:val="86"/>
    <w:family w:val="auto"/>
    <w:pitch w:val="default"/>
    <w:sig w:usb0="00000000" w:usb1="00000000" w:usb2="00000000" w:usb3="00000000" w:csb0="0004009F" w:csb1="DFD70000"/>
  </w:font>
  <w:font w:name="方正小标宋_GBK">
    <w:altName w:val="微软雅黑"/>
    <w:charset w:val="86"/>
    <w:family w:val="script"/>
    <w:pitch w:val="default"/>
    <w:sig w:usb0="00000000" w:usb1="00000000" w:usb2="00000000" w:usb3="00000000" w:csb0="00040000" w:csb1="00000000"/>
  </w:font>
  <w:font w:name="仿宋_GB2312">
    <w:altName w:val="仿宋"/>
    <w:charset w:val="86"/>
    <w:family w:val="moder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2003363"/>
    </w:sdtPr>
    <w:sdtContent>
      <w:p w:rsidR="000402D2" w:rsidRDefault="000402D2">
        <w:pPr>
          <w:pStyle w:val="a4"/>
          <w:jc w:val="center"/>
        </w:pPr>
        <w:r>
          <w:fldChar w:fldCharType="begin"/>
        </w:r>
        <w:r w:rsidR="003C1AA4">
          <w:instrText>PAGE   \* MERGEFORMAT</w:instrText>
        </w:r>
        <w:r>
          <w:fldChar w:fldCharType="separate"/>
        </w:r>
        <w:r w:rsidR="009C7AC4" w:rsidRPr="009C7AC4">
          <w:rPr>
            <w:noProof/>
            <w:lang w:val="zh-CN"/>
          </w:rPr>
          <w:t>1</w:t>
        </w:r>
        <w:r>
          <w:fldChar w:fldCharType="end"/>
        </w:r>
      </w:p>
    </w:sdtContent>
  </w:sdt>
  <w:p w:rsidR="000402D2" w:rsidRDefault="000402D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1AA4" w:rsidRDefault="003C1AA4" w:rsidP="000402D2">
      <w:r>
        <w:separator/>
      </w:r>
    </w:p>
  </w:footnote>
  <w:footnote w:type="continuationSeparator" w:id="0">
    <w:p w:rsidR="003C1AA4" w:rsidRDefault="003C1AA4" w:rsidP="000402D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A6457"/>
    <w:rsid w:val="000110C4"/>
    <w:rsid w:val="00037D50"/>
    <w:rsid w:val="000402D2"/>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C1AA4"/>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C7AC4"/>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C3D1751"/>
    <w:rsid w:val="4D2606A1"/>
    <w:rsid w:val="5D207B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02D2"/>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rsid w:val="000402D2"/>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0402D2"/>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0402D2"/>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unhideWhenUsed/>
    <w:qFormat/>
    <w:rsid w:val="000402D2"/>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0402D2"/>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0402D2"/>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0402D2"/>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0402D2"/>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0402D2"/>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0402D2"/>
    <w:rPr>
      <w:sz w:val="18"/>
      <w:szCs w:val="18"/>
    </w:rPr>
  </w:style>
  <w:style w:type="paragraph" w:styleId="a4">
    <w:name w:val="footer"/>
    <w:basedOn w:val="a"/>
    <w:link w:val="Char0"/>
    <w:uiPriority w:val="99"/>
    <w:unhideWhenUsed/>
    <w:qFormat/>
    <w:rsid w:val="000402D2"/>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qFormat/>
    <w:rsid w:val="000402D2"/>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rsid w:val="000402D2"/>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rsid w:val="000402D2"/>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sid w:val="000402D2"/>
    <w:rPr>
      <w:b/>
      <w:bCs/>
    </w:rPr>
  </w:style>
  <w:style w:type="character" w:styleId="a9">
    <w:name w:val="Emphasis"/>
    <w:basedOn w:val="a0"/>
    <w:uiPriority w:val="20"/>
    <w:qFormat/>
    <w:rsid w:val="000402D2"/>
    <w:rPr>
      <w:rFonts w:asciiTheme="minorHAnsi" w:hAnsiTheme="minorHAnsi"/>
      <w:b/>
      <w:i/>
      <w:iCs/>
    </w:rPr>
  </w:style>
  <w:style w:type="character" w:customStyle="1" w:styleId="1Char">
    <w:name w:val="标题 1 Char"/>
    <w:basedOn w:val="a0"/>
    <w:link w:val="1"/>
    <w:uiPriority w:val="9"/>
    <w:qFormat/>
    <w:rsid w:val="000402D2"/>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sid w:val="000402D2"/>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sid w:val="000402D2"/>
    <w:rPr>
      <w:rFonts w:asciiTheme="majorHAnsi" w:eastAsiaTheme="majorEastAsia" w:hAnsiTheme="majorHAnsi"/>
      <w:b/>
      <w:bCs/>
      <w:sz w:val="26"/>
      <w:szCs w:val="26"/>
    </w:rPr>
  </w:style>
  <w:style w:type="character" w:customStyle="1" w:styleId="4Char">
    <w:name w:val="标题 4 Char"/>
    <w:basedOn w:val="a0"/>
    <w:link w:val="4"/>
    <w:uiPriority w:val="9"/>
    <w:qFormat/>
    <w:rsid w:val="000402D2"/>
    <w:rPr>
      <w:b/>
      <w:bCs/>
      <w:sz w:val="28"/>
      <w:szCs w:val="28"/>
    </w:rPr>
  </w:style>
  <w:style w:type="character" w:customStyle="1" w:styleId="5Char">
    <w:name w:val="标题 5 Char"/>
    <w:basedOn w:val="a0"/>
    <w:link w:val="5"/>
    <w:uiPriority w:val="9"/>
    <w:semiHidden/>
    <w:qFormat/>
    <w:rsid w:val="000402D2"/>
    <w:rPr>
      <w:b/>
      <w:bCs/>
      <w:i/>
      <w:iCs/>
      <w:sz w:val="26"/>
      <w:szCs w:val="26"/>
    </w:rPr>
  </w:style>
  <w:style w:type="character" w:customStyle="1" w:styleId="6Char">
    <w:name w:val="标题 6 Char"/>
    <w:basedOn w:val="a0"/>
    <w:link w:val="6"/>
    <w:uiPriority w:val="9"/>
    <w:semiHidden/>
    <w:qFormat/>
    <w:rsid w:val="000402D2"/>
    <w:rPr>
      <w:b/>
      <w:bCs/>
    </w:rPr>
  </w:style>
  <w:style w:type="character" w:customStyle="1" w:styleId="7Char">
    <w:name w:val="标题 7 Char"/>
    <w:basedOn w:val="a0"/>
    <w:link w:val="7"/>
    <w:uiPriority w:val="9"/>
    <w:semiHidden/>
    <w:qFormat/>
    <w:rsid w:val="000402D2"/>
    <w:rPr>
      <w:sz w:val="24"/>
      <w:szCs w:val="24"/>
    </w:rPr>
  </w:style>
  <w:style w:type="character" w:customStyle="1" w:styleId="8Char">
    <w:name w:val="标题 8 Char"/>
    <w:basedOn w:val="a0"/>
    <w:link w:val="8"/>
    <w:uiPriority w:val="9"/>
    <w:semiHidden/>
    <w:qFormat/>
    <w:rsid w:val="000402D2"/>
    <w:rPr>
      <w:i/>
      <w:iCs/>
      <w:sz w:val="24"/>
      <w:szCs w:val="24"/>
    </w:rPr>
  </w:style>
  <w:style w:type="character" w:customStyle="1" w:styleId="9Char">
    <w:name w:val="标题 9 Char"/>
    <w:basedOn w:val="a0"/>
    <w:link w:val="9"/>
    <w:uiPriority w:val="9"/>
    <w:semiHidden/>
    <w:qFormat/>
    <w:rsid w:val="000402D2"/>
    <w:rPr>
      <w:rFonts w:asciiTheme="majorHAnsi" w:eastAsiaTheme="majorEastAsia" w:hAnsiTheme="majorHAnsi"/>
    </w:rPr>
  </w:style>
  <w:style w:type="character" w:customStyle="1" w:styleId="Char3">
    <w:name w:val="标题 Char"/>
    <w:basedOn w:val="a0"/>
    <w:link w:val="a7"/>
    <w:uiPriority w:val="10"/>
    <w:qFormat/>
    <w:rsid w:val="000402D2"/>
    <w:rPr>
      <w:rFonts w:asciiTheme="majorHAnsi" w:eastAsiaTheme="majorEastAsia" w:hAnsiTheme="majorHAnsi"/>
      <w:b/>
      <w:bCs/>
      <w:kern w:val="28"/>
      <w:sz w:val="32"/>
      <w:szCs w:val="32"/>
    </w:rPr>
  </w:style>
  <w:style w:type="character" w:customStyle="1" w:styleId="Char2">
    <w:name w:val="副标题 Char"/>
    <w:basedOn w:val="a0"/>
    <w:link w:val="a6"/>
    <w:uiPriority w:val="11"/>
    <w:qFormat/>
    <w:rsid w:val="000402D2"/>
    <w:rPr>
      <w:rFonts w:asciiTheme="majorHAnsi" w:eastAsiaTheme="majorEastAsia" w:hAnsiTheme="majorHAnsi"/>
      <w:sz w:val="24"/>
      <w:szCs w:val="24"/>
    </w:rPr>
  </w:style>
  <w:style w:type="paragraph" w:styleId="aa">
    <w:name w:val="No Spacing"/>
    <w:basedOn w:val="a"/>
    <w:uiPriority w:val="1"/>
    <w:qFormat/>
    <w:rsid w:val="000402D2"/>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rsid w:val="000402D2"/>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rsid w:val="000402D2"/>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qFormat/>
    <w:rsid w:val="000402D2"/>
    <w:rPr>
      <w:i/>
      <w:sz w:val="24"/>
      <w:szCs w:val="24"/>
    </w:rPr>
  </w:style>
  <w:style w:type="paragraph" w:styleId="ad">
    <w:name w:val="Intense Quote"/>
    <w:basedOn w:val="a"/>
    <w:next w:val="a"/>
    <w:link w:val="Char5"/>
    <w:uiPriority w:val="30"/>
    <w:qFormat/>
    <w:rsid w:val="000402D2"/>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qFormat/>
    <w:rsid w:val="000402D2"/>
    <w:rPr>
      <w:b/>
      <w:i/>
      <w:sz w:val="24"/>
    </w:rPr>
  </w:style>
  <w:style w:type="character" w:customStyle="1" w:styleId="10">
    <w:name w:val="不明显强调1"/>
    <w:uiPriority w:val="19"/>
    <w:qFormat/>
    <w:rsid w:val="000402D2"/>
    <w:rPr>
      <w:i/>
      <w:color w:val="595959" w:themeColor="text1" w:themeTint="A6"/>
    </w:rPr>
  </w:style>
  <w:style w:type="character" w:customStyle="1" w:styleId="11">
    <w:name w:val="明显强调1"/>
    <w:basedOn w:val="a0"/>
    <w:uiPriority w:val="21"/>
    <w:qFormat/>
    <w:rsid w:val="000402D2"/>
    <w:rPr>
      <w:b/>
      <w:i/>
      <w:sz w:val="24"/>
      <w:szCs w:val="24"/>
      <w:u w:val="single"/>
    </w:rPr>
  </w:style>
  <w:style w:type="character" w:customStyle="1" w:styleId="12">
    <w:name w:val="不明显参考1"/>
    <w:basedOn w:val="a0"/>
    <w:uiPriority w:val="31"/>
    <w:qFormat/>
    <w:rsid w:val="000402D2"/>
    <w:rPr>
      <w:sz w:val="24"/>
      <w:szCs w:val="24"/>
      <w:u w:val="single"/>
    </w:rPr>
  </w:style>
  <w:style w:type="character" w:customStyle="1" w:styleId="13">
    <w:name w:val="明显参考1"/>
    <w:basedOn w:val="a0"/>
    <w:uiPriority w:val="32"/>
    <w:qFormat/>
    <w:rsid w:val="000402D2"/>
    <w:rPr>
      <w:b/>
      <w:sz w:val="24"/>
      <w:u w:val="single"/>
    </w:rPr>
  </w:style>
  <w:style w:type="character" w:customStyle="1" w:styleId="14">
    <w:name w:val="书籍标题1"/>
    <w:basedOn w:val="a0"/>
    <w:uiPriority w:val="33"/>
    <w:qFormat/>
    <w:rsid w:val="000402D2"/>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0402D2"/>
    <w:pPr>
      <w:outlineLvl w:val="9"/>
    </w:pPr>
    <w:rPr>
      <w:lang w:eastAsia="en-US" w:bidi="en-US"/>
    </w:rPr>
  </w:style>
  <w:style w:type="character" w:customStyle="1" w:styleId="Char1">
    <w:name w:val="页眉 Char"/>
    <w:basedOn w:val="a0"/>
    <w:link w:val="a5"/>
    <w:uiPriority w:val="99"/>
    <w:qFormat/>
    <w:rsid w:val="000402D2"/>
    <w:rPr>
      <w:rFonts w:ascii="Calibri" w:eastAsia="宋体" w:hAnsi="Calibri"/>
      <w:kern w:val="2"/>
      <w:sz w:val="18"/>
      <w:szCs w:val="18"/>
    </w:rPr>
  </w:style>
  <w:style w:type="character" w:customStyle="1" w:styleId="Char0">
    <w:name w:val="页脚 Char"/>
    <w:basedOn w:val="a0"/>
    <w:link w:val="a4"/>
    <w:uiPriority w:val="99"/>
    <w:qFormat/>
    <w:rsid w:val="000402D2"/>
    <w:rPr>
      <w:rFonts w:ascii="Calibri" w:eastAsia="宋体" w:hAnsi="Calibri"/>
      <w:kern w:val="2"/>
      <w:sz w:val="18"/>
      <w:szCs w:val="18"/>
    </w:rPr>
  </w:style>
  <w:style w:type="character" w:customStyle="1" w:styleId="Char">
    <w:name w:val="批注框文本 Char"/>
    <w:basedOn w:val="a0"/>
    <w:link w:val="a3"/>
    <w:uiPriority w:val="99"/>
    <w:semiHidden/>
    <w:qFormat/>
    <w:rsid w:val="000402D2"/>
    <w:rPr>
      <w:rFonts w:ascii="Times New Roman" w:eastAsia="宋体"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1172</Words>
  <Characters>6681</Characters>
  <Application>Microsoft Office Word</Application>
  <DocSecurity>0</DocSecurity>
  <Lines>55</Lines>
  <Paragraphs>15</Paragraphs>
  <ScaleCrop>false</ScaleCrop>
  <Company/>
  <LinksUpToDate>false</LinksUpToDate>
  <CharactersWithSpaces>7838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Administrator</cp:lastModifiedBy>
  <cp:revision>66</cp:revision>
  <cp:lastPrinted>2018-12-31T10:56:00Z</cp:lastPrinted>
  <dcterms:created xsi:type="dcterms:W3CDTF">2018-08-15T02:06:00Z</dcterms:created>
  <dcterms:modified xsi:type="dcterms:W3CDTF">2026-08-29T14:50:00Z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82411E87B12849B99D84610AABE59085_13</vt:lpwstr>
  </property>
  <property fmtid="{D5CDD505-2E9C-101B-9397-08002B2CF9AE}" pid="4" name="KSOTemplateDocerSaveRecord">
    <vt:lpwstr>eyJoZGlkIjoiODZhYzIwZDcyMmZiZDI3YjJjMTZiYzhkZDYyODMwZTIifQ==</vt:lpwstr>
  </property>
</Properties>
</file>