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23" w:lineRule="atLeast"/>
        <w:ind w:left="1653" w:right="1653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36"/>
          <w:szCs w:val="36"/>
          <w:lang w:val="en-US" w:eastAsia="zh-CN" w:bidi="ar"/>
        </w:rPr>
        <w:t>关于2019年粮棉进口关税配额申领条件和分配原则的公告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lang w:val="en-US" w:eastAsia="zh-CN" w:bidi="ar"/>
        </w:rPr>
        <w:t>时间：2018-10-16    来源：国家发改委门户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关于2019年粮棉进口关税配额申领条件和分配原则的公告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2018年 第12号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根据《农产品进口关税配额管理暂行办法》，制定了《2019年粮食进口关税配额申领条件和分配原则》和《2019年棉花进口关税配额申领条件和分配原则》，现予以公告。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附件： 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"http://jms.ndrc.gov.cn/gzdt/201810/W020181012660151029139.doc" </w:instrTex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"http://jms.ndrc.gov.cn/gzdt/201810/W020181012660151029139.doc" </w:instrTex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</w:rPr>
        <w:t>．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/>
        </w:rPr>
        <w:t>2019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</w:rPr>
        <w:t>年粮食进口关税配额申领条件和分配原则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"http://jms.ndrc.gov.cn/gzdt/201810/W020181012659368336010.doc" </w:instrTex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"http://jms.ndrc.gov.cn/gzdt/201810/W020181012659368336010.doc" </w:instrTex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</w:rPr>
        <w:t>．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/>
        </w:rPr>
        <w:t>2019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</w:rPr>
        <w:t>年棉花进口关税配额申领条件和分配原则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231816"/>
          <w:spacing w:val="8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 w:firstLine="480"/>
        <w:jc w:val="left"/>
        <w:rPr>
          <w:rStyle w:val="3"/>
          <w:rFonts w:hint="eastAsia" w:ascii="微软雅黑" w:hAnsi="微软雅黑" w:eastAsia="微软雅黑" w:cs="微软雅黑"/>
          <w:i w:val="0"/>
          <w:caps w:val="0"/>
          <w:color w:val="231816"/>
          <w:spacing w:val="8"/>
          <w:sz w:val="21"/>
          <w:szCs w:val="21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                      国家发展改革委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7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6"/>
          <w:szCs w:val="26"/>
          <w:shd w:val="clear" w:fill="FFFFFF"/>
          <w:lang w:val="en-US" w:eastAsia="zh-CN" w:bidi="ar"/>
        </w:rPr>
        <w:t>                      2018年10月12日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54144"/>
    <w:rsid w:val="4A7E0EDB"/>
    <w:rsid w:val="7C1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2018-10-17T03:45:03Z</cp:lastPrinted>
  <dcterms:modified xsi:type="dcterms:W3CDTF">2018-10-17T03:45:06Z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